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F76E5" w14:textId="77777777" w:rsidR="007B6796" w:rsidRDefault="007B6796" w:rsidP="007B6796">
      <w:pPr>
        <w:tabs>
          <w:tab w:val="left" w:pos="5906"/>
        </w:tabs>
        <w:spacing w:before="73"/>
        <w:ind w:left="685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 wp14:anchorId="3A6D79BC" wp14:editId="14E3EA6E">
            <wp:simplePos x="0" y="0"/>
            <wp:positionH relativeFrom="page">
              <wp:posOffset>3698240</wp:posOffset>
            </wp:positionH>
            <wp:positionV relativeFrom="paragraph">
              <wp:posOffset>41910</wp:posOffset>
            </wp:positionV>
            <wp:extent cx="530860" cy="656590"/>
            <wp:effectExtent l="1905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4"/>
        </w:rPr>
        <w:t>REPUBLICA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MOLDOVA</w:t>
      </w:r>
      <w:r>
        <w:rPr>
          <w:b/>
          <w:sz w:val="24"/>
        </w:rPr>
        <w:tab/>
        <w:t>РЕСПУБЛИКА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МОЛДОВА</w:t>
      </w:r>
    </w:p>
    <w:p w14:paraId="38A0E092" w14:textId="77777777" w:rsidR="007B6796" w:rsidRDefault="007B6796" w:rsidP="007B6796">
      <w:pPr>
        <w:pStyle w:val="11"/>
        <w:tabs>
          <w:tab w:val="left" w:pos="2361"/>
          <w:tab w:val="left" w:pos="6141"/>
          <w:tab w:val="left" w:pos="6710"/>
        </w:tabs>
      </w:pPr>
      <w:r>
        <w:t>CONSILIUL</w:t>
      </w:r>
      <w:r>
        <w:tab/>
        <w:t>RAIONAL</w:t>
      </w:r>
      <w:r>
        <w:tab/>
        <w:t>РАЙОННЫЙ СОВЕТ</w:t>
      </w:r>
      <w:r>
        <w:rPr>
          <w:spacing w:val="-67"/>
        </w:rPr>
        <w:t xml:space="preserve"> </w:t>
      </w:r>
      <w:r>
        <w:t>RÎŞCANI</w:t>
      </w:r>
      <w:r>
        <w:tab/>
      </w:r>
      <w:r>
        <w:tab/>
        <w:t>РЫШКАНЬ</w:t>
      </w:r>
    </w:p>
    <w:p w14:paraId="0ED40F6B" w14:textId="5BB3F2CF" w:rsidR="007B6796" w:rsidRDefault="00E67B6B" w:rsidP="00E67B6B">
      <w:pPr>
        <w:pStyle w:val="af4"/>
        <w:jc w:val="right"/>
        <w:rPr>
          <w:b/>
          <w:sz w:val="30"/>
        </w:rPr>
      </w:pPr>
      <w:r>
        <w:rPr>
          <w:b/>
          <w:sz w:val="30"/>
        </w:rPr>
        <w:t>Proiect</w:t>
      </w:r>
    </w:p>
    <w:p w14:paraId="78602F32" w14:textId="77777777" w:rsidR="007B6796" w:rsidRDefault="007B6796" w:rsidP="007B6796">
      <w:pPr>
        <w:pStyle w:val="af4"/>
        <w:spacing w:before="7"/>
        <w:rPr>
          <w:b/>
          <w:sz w:val="25"/>
        </w:rPr>
      </w:pPr>
    </w:p>
    <w:p w14:paraId="1CFF7B44" w14:textId="55B3D235" w:rsidR="007B6796" w:rsidRDefault="007B6796" w:rsidP="007B6796">
      <w:pPr>
        <w:pStyle w:val="31"/>
        <w:spacing w:line="298" w:lineRule="exact"/>
        <w:ind w:left="3511" w:right="3575"/>
        <w:jc w:val="center"/>
        <w:rPr>
          <w:sz w:val="28"/>
          <w:szCs w:val="28"/>
        </w:rPr>
      </w:pPr>
      <w:r>
        <w:rPr>
          <w:sz w:val="28"/>
          <w:szCs w:val="28"/>
        </w:rPr>
        <w:t>DECIZIE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nr.</w:t>
      </w:r>
      <w:r w:rsidR="00E67B6B">
        <w:rPr>
          <w:sz w:val="28"/>
          <w:szCs w:val="28"/>
        </w:rPr>
        <w:t>02/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14:paraId="10289AFA" w14:textId="00785DCF" w:rsidR="007B6796" w:rsidRDefault="007B6796" w:rsidP="007B6796">
      <w:pPr>
        <w:spacing w:line="298" w:lineRule="exact"/>
        <w:ind w:left="2236" w:right="229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din</w:t>
      </w:r>
      <w:r>
        <w:rPr>
          <w:b/>
          <w:i/>
          <w:spacing w:val="-2"/>
          <w:sz w:val="28"/>
          <w:szCs w:val="28"/>
        </w:rPr>
        <w:t xml:space="preserve"> </w:t>
      </w:r>
      <w:r w:rsidR="002E3F45">
        <w:rPr>
          <w:b/>
          <w:i/>
          <w:sz w:val="28"/>
          <w:szCs w:val="28"/>
        </w:rPr>
        <w:t xml:space="preserve">  </w:t>
      </w:r>
      <w:r w:rsidR="00E67B6B">
        <w:rPr>
          <w:b/>
          <w:i/>
          <w:sz w:val="28"/>
          <w:szCs w:val="28"/>
        </w:rPr>
        <w:t>martie</w:t>
      </w:r>
      <w:r w:rsidR="002E3F45">
        <w:rPr>
          <w:b/>
          <w:i/>
          <w:sz w:val="28"/>
          <w:szCs w:val="28"/>
        </w:rPr>
        <w:t xml:space="preserve"> 2026</w:t>
      </w:r>
    </w:p>
    <w:p w14:paraId="00CE0FF0" w14:textId="77777777" w:rsidR="007B6796" w:rsidRDefault="007B6796" w:rsidP="007B6796">
      <w:pPr>
        <w:pStyle w:val="af4"/>
        <w:spacing w:before="11"/>
        <w:rPr>
          <w:b/>
          <w:i/>
          <w:sz w:val="28"/>
          <w:szCs w:val="28"/>
        </w:rPr>
      </w:pPr>
    </w:p>
    <w:p w14:paraId="7C46169E" w14:textId="77777777" w:rsidR="007B6796" w:rsidRPr="000C0C3C" w:rsidRDefault="007B6796" w:rsidP="007B6796">
      <w:pPr>
        <w:rPr>
          <w:b/>
          <w:bCs/>
          <w:sz w:val="28"/>
          <w:szCs w:val="28"/>
          <w:lang w:val="en-US"/>
        </w:rPr>
      </w:pPr>
      <w:r w:rsidRPr="000C0C3C">
        <w:rPr>
          <w:b/>
          <w:sz w:val="28"/>
          <w:szCs w:val="28"/>
        </w:rPr>
        <w:t>Cu privire la</w:t>
      </w:r>
      <w:r w:rsidR="002E3F45">
        <w:rPr>
          <w:b/>
          <w:sz w:val="28"/>
          <w:szCs w:val="28"/>
        </w:rPr>
        <w:t xml:space="preserve"> aprobarea inițiativei de participare în calitate de membru fondator la Gruparea Europea</w:t>
      </w:r>
      <w:r w:rsidR="00241BC4">
        <w:rPr>
          <w:b/>
          <w:sz w:val="28"/>
          <w:szCs w:val="28"/>
        </w:rPr>
        <w:t>nă  de</w:t>
      </w:r>
      <w:r w:rsidR="00350929">
        <w:rPr>
          <w:b/>
          <w:sz w:val="28"/>
          <w:szCs w:val="28"/>
        </w:rPr>
        <w:t xml:space="preserve"> Cooperare Teritorială (GEC</w:t>
      </w:r>
      <w:r w:rsidR="002E3F45">
        <w:rPr>
          <w:b/>
          <w:sz w:val="28"/>
          <w:szCs w:val="28"/>
        </w:rPr>
        <w:t>T) „EAST GATE”</w:t>
      </w:r>
      <w:r w:rsidR="00311860">
        <w:rPr>
          <w:b/>
          <w:sz w:val="28"/>
          <w:szCs w:val="28"/>
        </w:rPr>
        <w:t>, aprobarea contractului de asistență tehnică și juridică și bugetară contribuției unice aferente fazei de constituire</w:t>
      </w:r>
    </w:p>
    <w:p w14:paraId="27DEA097" w14:textId="77777777" w:rsidR="007B6796" w:rsidRPr="000C0C3C" w:rsidRDefault="007B6796" w:rsidP="007B6796">
      <w:pPr>
        <w:spacing w:line="299" w:lineRule="exact"/>
        <w:ind w:left="2236" w:right="2293"/>
        <w:jc w:val="center"/>
        <w:rPr>
          <w:b/>
          <w:sz w:val="28"/>
          <w:szCs w:val="28"/>
        </w:rPr>
      </w:pPr>
    </w:p>
    <w:p w14:paraId="22C3832B" w14:textId="77777777" w:rsidR="007B6796" w:rsidRPr="000C0C3C" w:rsidRDefault="007B6796" w:rsidP="007B6796">
      <w:pPr>
        <w:rPr>
          <w:sz w:val="36"/>
          <w:szCs w:val="36"/>
        </w:rPr>
      </w:pPr>
    </w:p>
    <w:p w14:paraId="418BD8F2" w14:textId="77777777" w:rsidR="000C0C3C" w:rsidRDefault="007B6796" w:rsidP="00B833F4">
      <w:pPr>
        <w:jc w:val="both"/>
        <w:rPr>
          <w:sz w:val="28"/>
          <w:szCs w:val="36"/>
        </w:rPr>
      </w:pPr>
      <w:r w:rsidRPr="000C0C3C">
        <w:rPr>
          <w:sz w:val="28"/>
          <w:szCs w:val="36"/>
        </w:rPr>
        <w:t xml:space="preserve">    În temeiul </w:t>
      </w:r>
      <w:r w:rsidR="002E3F45">
        <w:rPr>
          <w:sz w:val="28"/>
          <w:szCs w:val="36"/>
        </w:rPr>
        <w:t xml:space="preserve">art. </w:t>
      </w:r>
      <w:r w:rsidR="00311860">
        <w:rPr>
          <w:sz w:val="28"/>
          <w:szCs w:val="36"/>
        </w:rPr>
        <w:t xml:space="preserve">43, art. </w:t>
      </w:r>
      <w:r w:rsidR="002E3F45">
        <w:rPr>
          <w:sz w:val="28"/>
          <w:szCs w:val="36"/>
        </w:rPr>
        <w:t xml:space="preserve">14 </w:t>
      </w:r>
      <w:r w:rsidR="00B92816" w:rsidRPr="000C0C3C">
        <w:rPr>
          <w:sz w:val="28"/>
          <w:szCs w:val="36"/>
        </w:rPr>
        <w:t xml:space="preserve"> </w:t>
      </w:r>
      <w:r w:rsidRPr="000C0C3C">
        <w:rPr>
          <w:sz w:val="28"/>
          <w:szCs w:val="36"/>
        </w:rPr>
        <w:t>al</w:t>
      </w:r>
      <w:r w:rsidR="00B92816" w:rsidRPr="000C0C3C">
        <w:rPr>
          <w:sz w:val="28"/>
          <w:szCs w:val="36"/>
        </w:rPr>
        <w:t>in</w:t>
      </w:r>
      <w:r w:rsidR="00311860">
        <w:rPr>
          <w:sz w:val="28"/>
          <w:szCs w:val="36"/>
        </w:rPr>
        <w:t>.(1</w:t>
      </w:r>
      <w:r w:rsidRPr="000C0C3C">
        <w:rPr>
          <w:sz w:val="28"/>
          <w:szCs w:val="36"/>
        </w:rPr>
        <w:t>), l</w:t>
      </w:r>
      <w:r w:rsidR="002E3F45">
        <w:rPr>
          <w:sz w:val="28"/>
          <w:szCs w:val="36"/>
        </w:rPr>
        <w:t>it.k</w:t>
      </w:r>
      <w:r w:rsidRPr="000C0C3C">
        <w:rPr>
          <w:sz w:val="28"/>
          <w:szCs w:val="36"/>
        </w:rPr>
        <w:t>)</w:t>
      </w:r>
      <w:r w:rsidR="00311860">
        <w:rPr>
          <w:sz w:val="28"/>
          <w:szCs w:val="36"/>
        </w:rPr>
        <w:t xml:space="preserve"> și alin (4) </w:t>
      </w:r>
      <w:r w:rsidR="002E3F45">
        <w:rPr>
          <w:sz w:val="28"/>
          <w:szCs w:val="36"/>
        </w:rPr>
        <w:t xml:space="preserve">  din Legea</w:t>
      </w:r>
      <w:r w:rsidRPr="000C0C3C">
        <w:rPr>
          <w:sz w:val="28"/>
          <w:szCs w:val="36"/>
        </w:rPr>
        <w:t xml:space="preserve"> nr. 436 /2006 privind adm</w:t>
      </w:r>
      <w:r w:rsidR="00713CC8">
        <w:rPr>
          <w:sz w:val="28"/>
          <w:szCs w:val="36"/>
        </w:rPr>
        <w:t>inistrația publică locală,</w:t>
      </w:r>
      <w:r w:rsidR="002E3F45">
        <w:rPr>
          <w:sz w:val="28"/>
          <w:szCs w:val="36"/>
        </w:rPr>
        <w:t xml:space="preserve"> cu modificările </w:t>
      </w:r>
      <w:r w:rsidR="00311860">
        <w:rPr>
          <w:sz w:val="28"/>
          <w:szCs w:val="36"/>
        </w:rPr>
        <w:t xml:space="preserve"> și completările </w:t>
      </w:r>
      <w:r w:rsidR="002E3F45">
        <w:rPr>
          <w:sz w:val="28"/>
          <w:szCs w:val="36"/>
        </w:rPr>
        <w:t>ulterioare,</w:t>
      </w:r>
      <w:r w:rsidR="00713CC8">
        <w:rPr>
          <w:sz w:val="28"/>
          <w:szCs w:val="36"/>
        </w:rPr>
        <w:t xml:space="preserve"> Legii</w:t>
      </w:r>
      <w:r w:rsidRPr="000C0C3C">
        <w:rPr>
          <w:sz w:val="28"/>
          <w:szCs w:val="36"/>
        </w:rPr>
        <w:t xml:space="preserve"> nr.397/2003 p</w:t>
      </w:r>
      <w:r w:rsidR="00311860">
        <w:rPr>
          <w:sz w:val="28"/>
          <w:szCs w:val="36"/>
        </w:rPr>
        <w:t xml:space="preserve">rivind finanțele publice locale și </w:t>
      </w:r>
      <w:r w:rsidR="002E3F45">
        <w:rPr>
          <w:sz w:val="28"/>
          <w:szCs w:val="36"/>
        </w:rPr>
        <w:t>Legii nr. 181/2014 privind finanțele publice și responsabilitatea bugetar-fiscală, Regulamentul (CE)</w:t>
      </w:r>
      <w:r w:rsidR="00311860">
        <w:rPr>
          <w:sz w:val="28"/>
          <w:szCs w:val="36"/>
        </w:rPr>
        <w:t xml:space="preserve"> nr.</w:t>
      </w:r>
      <w:r w:rsidR="007E1AFA">
        <w:rPr>
          <w:sz w:val="28"/>
          <w:szCs w:val="36"/>
        </w:rPr>
        <w:t xml:space="preserve"> </w:t>
      </w:r>
      <w:r w:rsidR="00311860">
        <w:rPr>
          <w:sz w:val="28"/>
          <w:szCs w:val="36"/>
        </w:rPr>
        <w:t xml:space="preserve"> </w:t>
      </w:r>
      <w:r w:rsidR="007E1AFA">
        <w:rPr>
          <w:sz w:val="28"/>
          <w:szCs w:val="36"/>
        </w:rPr>
        <w:t xml:space="preserve">1082/2006, modificat prin Regulamentul (UE) nr. 1302/2013 , </w:t>
      </w:r>
      <w:r w:rsidR="00311860">
        <w:rPr>
          <w:sz w:val="28"/>
          <w:szCs w:val="36"/>
        </w:rPr>
        <w:t>privind o Grupare europeană de Cooperare T</w:t>
      </w:r>
      <w:r w:rsidR="00F4158B">
        <w:rPr>
          <w:sz w:val="28"/>
          <w:szCs w:val="36"/>
        </w:rPr>
        <w:t xml:space="preserve">eritorială (GECT) </w:t>
      </w:r>
      <w:r w:rsidR="00311860">
        <w:rPr>
          <w:sz w:val="28"/>
          <w:szCs w:val="36"/>
        </w:rPr>
        <w:t xml:space="preserve">, Hotărârile </w:t>
      </w:r>
      <w:r w:rsidR="00F4158B">
        <w:rPr>
          <w:sz w:val="28"/>
          <w:szCs w:val="36"/>
        </w:rPr>
        <w:t xml:space="preserve">nr. </w:t>
      </w:r>
      <w:r w:rsidR="007E1AFA">
        <w:rPr>
          <w:sz w:val="28"/>
          <w:szCs w:val="36"/>
        </w:rPr>
        <w:t xml:space="preserve"> 1-4/2025 a Comitetului de iniț</w:t>
      </w:r>
      <w:r w:rsidR="00311860">
        <w:rPr>
          <w:sz w:val="28"/>
          <w:szCs w:val="36"/>
        </w:rPr>
        <w:t>iativă pentru constituirea GECT,</w:t>
      </w:r>
      <w:r w:rsidR="007E1AFA">
        <w:rPr>
          <w:sz w:val="28"/>
          <w:szCs w:val="36"/>
        </w:rPr>
        <w:t xml:space="preserve"> Demersul Euroregiunii Siret-Prut-Nistru nr. 199 din 24.11.2025;</w:t>
      </w:r>
      <w:r w:rsidR="00350929">
        <w:rPr>
          <w:sz w:val="28"/>
          <w:szCs w:val="36"/>
        </w:rPr>
        <w:t xml:space="preserve"> </w:t>
      </w:r>
      <w:r w:rsidR="007E1AFA">
        <w:rPr>
          <w:sz w:val="28"/>
          <w:szCs w:val="36"/>
        </w:rPr>
        <w:t xml:space="preserve">necesitatea strategică de a constitui GECT </w:t>
      </w:r>
      <w:r w:rsidR="00311860">
        <w:rPr>
          <w:sz w:val="28"/>
          <w:szCs w:val="36"/>
        </w:rPr>
        <w:t xml:space="preserve"> ca o structură juridică permanentă, </w:t>
      </w:r>
      <w:r w:rsidR="007E1AFA">
        <w:rPr>
          <w:sz w:val="28"/>
          <w:szCs w:val="36"/>
        </w:rPr>
        <w:t>capabilă să acceseze direct fonduri europene</w:t>
      </w:r>
      <w:r w:rsidR="00350929">
        <w:rPr>
          <w:sz w:val="28"/>
          <w:szCs w:val="36"/>
        </w:rPr>
        <w:t xml:space="preserve"> </w:t>
      </w:r>
      <w:r w:rsidR="007E1AFA">
        <w:rPr>
          <w:sz w:val="28"/>
          <w:szCs w:val="36"/>
        </w:rPr>
        <w:t>pentru coeziune teritorială. Angajamentul asumat pentru achitarea Contribuției Unice, indispensabilă pentru contractarea asistenței tehnice și juridice de specialitate, în scopul asigurării funcționalității Secretariatului Comitetului de Inițiativă (ST-CI) în faza premergătoare  înregistrării legale a Grupării.</w:t>
      </w:r>
    </w:p>
    <w:p w14:paraId="2D0E8AF7" w14:textId="77777777" w:rsidR="007B6796" w:rsidRDefault="007B6796" w:rsidP="00B833F4">
      <w:pPr>
        <w:jc w:val="both"/>
        <w:rPr>
          <w:sz w:val="28"/>
          <w:szCs w:val="36"/>
        </w:rPr>
      </w:pPr>
      <w:r w:rsidRPr="000C0C3C">
        <w:rPr>
          <w:sz w:val="28"/>
          <w:szCs w:val="36"/>
        </w:rPr>
        <w:t xml:space="preserve"> </w:t>
      </w:r>
    </w:p>
    <w:p w14:paraId="21F5F169" w14:textId="77777777" w:rsidR="007B6796" w:rsidRDefault="007B6796" w:rsidP="007B6796">
      <w:pPr>
        <w:spacing w:line="299" w:lineRule="exact"/>
        <w:ind w:left="2236" w:right="2293"/>
        <w:jc w:val="center"/>
        <w:rPr>
          <w:b/>
          <w:sz w:val="28"/>
          <w:szCs w:val="28"/>
        </w:rPr>
      </w:pPr>
      <w:r>
        <w:rPr>
          <w:sz w:val="28"/>
          <w:szCs w:val="36"/>
        </w:rPr>
        <w:t xml:space="preserve">          </w:t>
      </w:r>
      <w:r>
        <w:rPr>
          <w:b/>
          <w:sz w:val="28"/>
          <w:szCs w:val="28"/>
        </w:rPr>
        <w:t>Consiliul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raional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DECIDE:</w:t>
      </w:r>
    </w:p>
    <w:p w14:paraId="733B0E27" w14:textId="77777777" w:rsidR="007B6796" w:rsidRDefault="007B6796" w:rsidP="007B6796">
      <w:pPr>
        <w:rPr>
          <w:sz w:val="28"/>
          <w:szCs w:val="36"/>
        </w:rPr>
      </w:pPr>
    </w:p>
    <w:p w14:paraId="3B9AD32C" w14:textId="77777777" w:rsidR="007B6796" w:rsidRDefault="0094568E" w:rsidP="007B679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</w:p>
    <w:p w14:paraId="3DA41321" w14:textId="77777777" w:rsidR="007B6796" w:rsidRPr="000B7216" w:rsidRDefault="00C07ACE" w:rsidP="007B6796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S</w:t>
      </w:r>
      <w:r w:rsidR="000B7216">
        <w:rPr>
          <w:sz w:val="28"/>
          <w:szCs w:val="28"/>
        </w:rPr>
        <w:t>e aprobă</w:t>
      </w:r>
      <w:r w:rsidR="00F4158B">
        <w:rPr>
          <w:sz w:val="28"/>
          <w:szCs w:val="28"/>
        </w:rPr>
        <w:t xml:space="preserve"> inițiativa de </w:t>
      </w:r>
      <w:r w:rsidR="00FF0358">
        <w:rPr>
          <w:sz w:val="28"/>
          <w:szCs w:val="28"/>
        </w:rPr>
        <w:t xml:space="preserve"> participare</w:t>
      </w:r>
      <w:r w:rsidR="00F4158B">
        <w:rPr>
          <w:sz w:val="28"/>
          <w:szCs w:val="28"/>
        </w:rPr>
        <w:t xml:space="preserve"> </w:t>
      </w:r>
      <w:r w:rsidR="00FF0358">
        <w:rPr>
          <w:sz w:val="28"/>
          <w:szCs w:val="28"/>
        </w:rPr>
        <w:t xml:space="preserve">a </w:t>
      </w:r>
      <w:r w:rsidR="007E1AFA">
        <w:rPr>
          <w:sz w:val="28"/>
          <w:szCs w:val="28"/>
        </w:rPr>
        <w:t>Unității Administrativ –Teritorială în calitate de Membru Fondator la Gruparea Europeană de Cooperare T</w:t>
      </w:r>
      <w:r w:rsidR="00F4158B">
        <w:rPr>
          <w:sz w:val="28"/>
          <w:szCs w:val="28"/>
        </w:rPr>
        <w:t xml:space="preserve">eritorială (GECT) „EAST GATE”, </w:t>
      </w:r>
      <w:r w:rsidR="008E474C">
        <w:rPr>
          <w:sz w:val="28"/>
          <w:szCs w:val="28"/>
        </w:rPr>
        <w:t xml:space="preserve">cu sediul social stabilit în </w:t>
      </w:r>
      <w:r w:rsidR="00F4158B">
        <w:rPr>
          <w:sz w:val="28"/>
          <w:szCs w:val="28"/>
        </w:rPr>
        <w:t>România, comuna Scobinți, județul Iași.</w:t>
      </w:r>
    </w:p>
    <w:p w14:paraId="5A7EB227" w14:textId="77777777" w:rsidR="00DC5E26" w:rsidRPr="00BA6795" w:rsidRDefault="00DC5E26" w:rsidP="007B6796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Se împuternicește</w:t>
      </w:r>
      <w:r w:rsidR="00AC6BC1">
        <w:rPr>
          <w:sz w:val="28"/>
          <w:szCs w:val="28"/>
        </w:rPr>
        <w:t xml:space="preserve"> </w:t>
      </w:r>
      <w:r>
        <w:rPr>
          <w:sz w:val="28"/>
          <w:szCs w:val="28"/>
        </w:rPr>
        <w:t>Preșe</w:t>
      </w:r>
      <w:r w:rsidR="00350929">
        <w:rPr>
          <w:sz w:val="28"/>
          <w:szCs w:val="28"/>
        </w:rPr>
        <w:t xml:space="preserve">dintele raionului Rîșcani, dl </w:t>
      </w:r>
      <w:r>
        <w:rPr>
          <w:sz w:val="28"/>
          <w:szCs w:val="28"/>
        </w:rPr>
        <w:t xml:space="preserve">Vladimir MIZDRENCO, să </w:t>
      </w:r>
      <w:r w:rsidR="00F4158B">
        <w:rPr>
          <w:sz w:val="28"/>
          <w:szCs w:val="28"/>
        </w:rPr>
        <w:t xml:space="preserve">reprezinte UAT la Adunarea Generală a GECT „EAST GATE” și să semneze, în numele </w:t>
      </w:r>
      <w:r w:rsidR="008E5BD6">
        <w:rPr>
          <w:sz w:val="28"/>
          <w:szCs w:val="28"/>
        </w:rPr>
        <w:t xml:space="preserve">și interesul </w:t>
      </w:r>
      <w:r w:rsidR="00AC6BC1">
        <w:rPr>
          <w:sz w:val="28"/>
          <w:szCs w:val="28"/>
        </w:rPr>
        <w:t xml:space="preserve">UAT, documentele fondatoare </w:t>
      </w:r>
      <w:r w:rsidR="008E5BD6">
        <w:rPr>
          <w:sz w:val="28"/>
          <w:szCs w:val="28"/>
        </w:rPr>
        <w:t>(Statutul și Convenția GECT)</w:t>
      </w:r>
      <w:r w:rsidR="00AC6BC1">
        <w:rPr>
          <w:sz w:val="28"/>
          <w:szCs w:val="28"/>
        </w:rPr>
        <w:t xml:space="preserve">( </w:t>
      </w:r>
      <w:r w:rsidR="00AC6BC1" w:rsidRPr="00AC6BC1">
        <w:rPr>
          <w:i/>
          <w:sz w:val="28"/>
          <w:szCs w:val="28"/>
        </w:rPr>
        <w:t>anexa 1 și anexa 2)</w:t>
      </w:r>
      <w:r w:rsidR="008E5BD6" w:rsidRPr="00AC6BC1">
        <w:rPr>
          <w:i/>
          <w:sz w:val="28"/>
          <w:szCs w:val="28"/>
        </w:rPr>
        <w:t>.</w:t>
      </w:r>
    </w:p>
    <w:p w14:paraId="498561DA" w14:textId="77777777" w:rsidR="007224C5" w:rsidRPr="008E5BD6" w:rsidRDefault="00BA6795" w:rsidP="00B27DD3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color w:val="222222"/>
          <w:sz w:val="28"/>
          <w:szCs w:val="28"/>
        </w:rPr>
        <w:t xml:space="preserve">Se </w:t>
      </w:r>
      <w:r w:rsidR="008E5BD6">
        <w:rPr>
          <w:color w:val="222222"/>
          <w:sz w:val="28"/>
          <w:szCs w:val="28"/>
        </w:rPr>
        <w:t>aprobă încheierea Contractului  de asistență juridică și tehnică, necesar pentru asigurarea fu</w:t>
      </w:r>
      <w:r w:rsidR="00AC6BC1">
        <w:rPr>
          <w:color w:val="222222"/>
          <w:sz w:val="28"/>
          <w:szCs w:val="28"/>
        </w:rPr>
        <w:t>ncționalității Secretariatului Tehnic al Comitetului de I</w:t>
      </w:r>
      <w:r w:rsidR="008E5BD6">
        <w:rPr>
          <w:color w:val="222222"/>
          <w:sz w:val="28"/>
          <w:szCs w:val="28"/>
        </w:rPr>
        <w:t>nițiativă (ST-CI) în procesul de constituire și înregistrare legală a GECT</w:t>
      </w:r>
      <w:r w:rsidR="00AC6BC1">
        <w:rPr>
          <w:color w:val="222222"/>
          <w:sz w:val="28"/>
          <w:szCs w:val="28"/>
        </w:rPr>
        <w:t xml:space="preserve"> (</w:t>
      </w:r>
      <w:r w:rsidR="00AC6BC1" w:rsidRPr="00AC6BC1">
        <w:rPr>
          <w:i/>
          <w:color w:val="222222"/>
          <w:sz w:val="28"/>
          <w:szCs w:val="28"/>
        </w:rPr>
        <w:t>anexa 3</w:t>
      </w:r>
      <w:r w:rsidR="00AC6BC1">
        <w:rPr>
          <w:color w:val="222222"/>
          <w:sz w:val="28"/>
          <w:szCs w:val="28"/>
        </w:rPr>
        <w:t>)</w:t>
      </w:r>
      <w:r w:rsidR="008E5BD6">
        <w:rPr>
          <w:color w:val="222222"/>
          <w:sz w:val="28"/>
          <w:szCs w:val="28"/>
        </w:rPr>
        <w:t>.</w:t>
      </w:r>
    </w:p>
    <w:p w14:paraId="1D07C050" w14:textId="77777777" w:rsidR="008E5BD6" w:rsidRPr="0094568E" w:rsidRDefault="008E5BD6" w:rsidP="00B27DD3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color w:val="222222"/>
          <w:sz w:val="28"/>
          <w:szCs w:val="28"/>
        </w:rPr>
        <w:t xml:space="preserve">Se asigură </w:t>
      </w:r>
      <w:r w:rsidR="00AC6BC1">
        <w:rPr>
          <w:color w:val="222222"/>
          <w:sz w:val="28"/>
          <w:szCs w:val="28"/>
        </w:rPr>
        <w:t>finanțarea Contribuției U</w:t>
      </w:r>
      <w:r w:rsidR="008E474C">
        <w:rPr>
          <w:color w:val="222222"/>
          <w:sz w:val="28"/>
          <w:szCs w:val="28"/>
        </w:rPr>
        <w:t>nice, aferente Contractului de asistență,</w:t>
      </w:r>
      <w:r w:rsidR="00AC6BC1">
        <w:rPr>
          <w:color w:val="222222"/>
          <w:sz w:val="28"/>
          <w:szCs w:val="28"/>
        </w:rPr>
        <w:t xml:space="preserve"> prevăzut la pct. 3, necesară</w:t>
      </w:r>
      <w:r w:rsidR="008E474C">
        <w:rPr>
          <w:color w:val="222222"/>
          <w:sz w:val="28"/>
          <w:szCs w:val="28"/>
        </w:rPr>
        <w:t xml:space="preserve"> pentru funcționarea ST-CI, în valoare de 820 EUR.(opt sute d</w:t>
      </w:r>
      <w:r w:rsidR="00AC6BC1">
        <w:rPr>
          <w:color w:val="222222"/>
          <w:sz w:val="28"/>
          <w:szCs w:val="28"/>
        </w:rPr>
        <w:t>ouăzeci euro), echivalentul în Lei M</w:t>
      </w:r>
      <w:r w:rsidR="008E474C">
        <w:rPr>
          <w:color w:val="222222"/>
          <w:sz w:val="28"/>
          <w:szCs w:val="28"/>
        </w:rPr>
        <w:t xml:space="preserve">oldovenești calculat la </w:t>
      </w:r>
      <w:r w:rsidR="008E474C">
        <w:rPr>
          <w:color w:val="222222"/>
          <w:sz w:val="28"/>
          <w:szCs w:val="28"/>
        </w:rPr>
        <w:lastRenderedPageBreak/>
        <w:t>cursul oficial al Băncii Naționale a Moldovei din ziu</w:t>
      </w:r>
      <w:r w:rsidR="00AC6BC1">
        <w:rPr>
          <w:color w:val="222222"/>
          <w:sz w:val="28"/>
          <w:szCs w:val="28"/>
        </w:rPr>
        <w:t>a efectuării plății, d</w:t>
      </w:r>
      <w:r w:rsidR="00DA747A">
        <w:rPr>
          <w:color w:val="222222"/>
          <w:sz w:val="28"/>
          <w:szCs w:val="28"/>
        </w:rPr>
        <w:t>in s</w:t>
      </w:r>
      <w:r w:rsidR="00AC6BC1">
        <w:rPr>
          <w:color w:val="222222"/>
          <w:sz w:val="28"/>
          <w:szCs w:val="28"/>
        </w:rPr>
        <w:t xml:space="preserve">oldul disponibil al </w:t>
      </w:r>
      <w:r w:rsidR="008E474C">
        <w:rPr>
          <w:color w:val="222222"/>
          <w:sz w:val="28"/>
          <w:szCs w:val="28"/>
        </w:rPr>
        <w:t xml:space="preserve"> bugetului Consiliului raional Rîșcani pentru anul 2026.</w:t>
      </w:r>
    </w:p>
    <w:p w14:paraId="4D6987EA" w14:textId="77777777" w:rsidR="007B6796" w:rsidRPr="0094568E" w:rsidRDefault="007B6796" w:rsidP="0094568E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Se </w:t>
      </w:r>
      <w:proofErr w:type="spellStart"/>
      <w:r>
        <w:rPr>
          <w:sz w:val="28"/>
          <w:szCs w:val="28"/>
          <w:lang w:val="en-US"/>
        </w:rPr>
        <w:t>desem</w:t>
      </w:r>
      <w:r w:rsidR="00463C60">
        <w:rPr>
          <w:sz w:val="28"/>
          <w:szCs w:val="28"/>
          <w:lang w:val="en-US"/>
        </w:rPr>
        <w:t>nează</w:t>
      </w:r>
      <w:proofErr w:type="spellEnd"/>
      <w:r w:rsidR="00463C60">
        <w:rPr>
          <w:sz w:val="28"/>
          <w:szCs w:val="28"/>
          <w:lang w:val="en-US"/>
        </w:rPr>
        <w:t xml:space="preserve"> </w:t>
      </w:r>
      <w:proofErr w:type="spellStart"/>
      <w:r w:rsidR="00463C60">
        <w:rPr>
          <w:sz w:val="28"/>
          <w:szCs w:val="28"/>
          <w:lang w:val="en-US"/>
        </w:rPr>
        <w:t>persoană</w:t>
      </w:r>
      <w:proofErr w:type="spellEnd"/>
      <w:r w:rsidR="00463C60">
        <w:rPr>
          <w:sz w:val="28"/>
          <w:szCs w:val="28"/>
          <w:lang w:val="en-US"/>
        </w:rPr>
        <w:t xml:space="preserve"> </w:t>
      </w:r>
      <w:proofErr w:type="spellStart"/>
      <w:r w:rsidR="00463C60">
        <w:rPr>
          <w:sz w:val="28"/>
          <w:szCs w:val="28"/>
          <w:lang w:val="en-US"/>
        </w:rPr>
        <w:t>responsabilă</w:t>
      </w:r>
      <w:proofErr w:type="spellEnd"/>
      <w:r w:rsidR="00463C60">
        <w:rPr>
          <w:sz w:val="28"/>
          <w:szCs w:val="28"/>
          <w:lang w:val="en-US"/>
        </w:rPr>
        <w:t xml:space="preserve"> de </w:t>
      </w:r>
      <w:r w:rsidR="00463C60">
        <w:rPr>
          <w:sz w:val="28"/>
          <w:szCs w:val="28"/>
        </w:rPr>
        <w:t>î</w:t>
      </w:r>
      <w:proofErr w:type="spellStart"/>
      <w:r>
        <w:rPr>
          <w:sz w:val="28"/>
          <w:szCs w:val="28"/>
          <w:lang w:val="en-US"/>
        </w:rPr>
        <w:t>naintarea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dna</w:t>
      </w:r>
      <w:proofErr w:type="spellEnd"/>
      <w:r w:rsidR="00350929">
        <w:rPr>
          <w:sz w:val="28"/>
          <w:szCs w:val="28"/>
          <w:lang w:val="en-US"/>
        </w:rPr>
        <w:t xml:space="preserve"> Lidia </w:t>
      </w:r>
      <w:proofErr w:type="spellStart"/>
      <w:r w:rsidR="00350929">
        <w:rPr>
          <w:sz w:val="28"/>
          <w:szCs w:val="28"/>
          <w:lang w:val="en-US"/>
        </w:rPr>
        <w:t>Dîncenoc</w:t>
      </w:r>
      <w:proofErr w:type="spellEnd"/>
      <w:r w:rsidR="00AC6BC1">
        <w:rPr>
          <w:sz w:val="28"/>
          <w:szCs w:val="28"/>
          <w:lang w:val="en-US"/>
        </w:rPr>
        <w:t xml:space="preserve">, </w:t>
      </w:r>
      <w:proofErr w:type="spellStart"/>
      <w:r w:rsidR="00AC6BC1">
        <w:rPr>
          <w:sz w:val="28"/>
          <w:szCs w:val="28"/>
          <w:lang w:val="en-US"/>
        </w:rPr>
        <w:t>vicepreședintă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raionului</w:t>
      </w:r>
      <w:proofErr w:type="spellEnd"/>
      <w:r>
        <w:rPr>
          <w:sz w:val="28"/>
          <w:szCs w:val="28"/>
          <w:lang w:val="en-US"/>
        </w:rPr>
        <w:t>;</w:t>
      </w:r>
    </w:p>
    <w:p w14:paraId="64900774" w14:textId="77777777" w:rsidR="007B6796" w:rsidRDefault="007B6796" w:rsidP="007B6796">
      <w:pPr>
        <w:pStyle w:val="aa"/>
        <w:widowControl/>
        <w:numPr>
          <w:ilvl w:val="0"/>
          <w:numId w:val="2"/>
        </w:numPr>
        <w:autoSpaceDE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Pr="00350929">
        <w:rPr>
          <w:sz w:val="28"/>
          <w:szCs w:val="28"/>
          <w:lang w:val="en-US"/>
        </w:rPr>
        <w:t>Controlul</w:t>
      </w:r>
      <w:proofErr w:type="spellEnd"/>
      <w:r w:rsidRPr="00350929">
        <w:rPr>
          <w:sz w:val="28"/>
          <w:szCs w:val="28"/>
          <w:lang w:val="en-US"/>
        </w:rPr>
        <w:t xml:space="preserve"> </w:t>
      </w:r>
      <w:proofErr w:type="spellStart"/>
      <w:r w:rsidRPr="00350929">
        <w:rPr>
          <w:sz w:val="28"/>
          <w:szCs w:val="28"/>
          <w:lang w:val="en-US"/>
        </w:rPr>
        <w:t>executării</w:t>
      </w:r>
      <w:proofErr w:type="spellEnd"/>
      <w:r w:rsidRPr="0035092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50929">
        <w:rPr>
          <w:sz w:val="28"/>
          <w:szCs w:val="28"/>
          <w:lang w:val="en-US"/>
        </w:rPr>
        <w:t>prezentei</w:t>
      </w:r>
      <w:proofErr w:type="spellEnd"/>
      <w:r w:rsidRPr="00350929">
        <w:rPr>
          <w:sz w:val="28"/>
          <w:szCs w:val="28"/>
          <w:lang w:val="en-US"/>
        </w:rPr>
        <w:t xml:space="preserve">  </w:t>
      </w:r>
      <w:proofErr w:type="spellStart"/>
      <w:r w:rsidRPr="00350929">
        <w:rPr>
          <w:sz w:val="28"/>
          <w:szCs w:val="28"/>
          <w:lang w:val="en-US"/>
        </w:rPr>
        <w:t>decizii</w:t>
      </w:r>
      <w:proofErr w:type="spellEnd"/>
      <w:proofErr w:type="gramEnd"/>
      <w:r w:rsidRPr="00350929">
        <w:rPr>
          <w:sz w:val="28"/>
          <w:szCs w:val="28"/>
          <w:lang w:val="en-US"/>
        </w:rPr>
        <w:t xml:space="preserve"> se </w:t>
      </w:r>
      <w:proofErr w:type="spellStart"/>
      <w:r w:rsidRPr="00350929">
        <w:rPr>
          <w:sz w:val="28"/>
          <w:szCs w:val="28"/>
          <w:lang w:val="en-US"/>
        </w:rPr>
        <w:t>pune</w:t>
      </w:r>
      <w:proofErr w:type="spellEnd"/>
      <w:r w:rsidRPr="00350929">
        <w:rPr>
          <w:sz w:val="28"/>
          <w:szCs w:val="28"/>
          <w:lang w:val="en-US"/>
        </w:rPr>
        <w:t xml:space="preserve"> </w:t>
      </w:r>
      <w:proofErr w:type="spellStart"/>
      <w:r w:rsidRPr="00350929">
        <w:rPr>
          <w:sz w:val="28"/>
          <w:szCs w:val="28"/>
          <w:lang w:val="en-US"/>
        </w:rPr>
        <w:t>în</w:t>
      </w:r>
      <w:proofErr w:type="spellEnd"/>
      <w:r w:rsidRPr="00350929">
        <w:rPr>
          <w:sz w:val="28"/>
          <w:szCs w:val="28"/>
          <w:lang w:val="en-US"/>
        </w:rPr>
        <w:t xml:space="preserve"> </w:t>
      </w:r>
      <w:proofErr w:type="spellStart"/>
      <w:r w:rsidRPr="00350929">
        <w:rPr>
          <w:sz w:val="28"/>
          <w:szCs w:val="28"/>
          <w:lang w:val="en-US"/>
        </w:rPr>
        <w:t>sarcina</w:t>
      </w:r>
      <w:proofErr w:type="spellEnd"/>
      <w:r w:rsidRPr="00350929">
        <w:rPr>
          <w:sz w:val="28"/>
          <w:szCs w:val="28"/>
          <w:lang w:val="en-US"/>
        </w:rPr>
        <w:t xml:space="preserve"> </w:t>
      </w:r>
      <w:proofErr w:type="spellStart"/>
      <w:r w:rsidR="00131A28" w:rsidRPr="00350929">
        <w:rPr>
          <w:sz w:val="28"/>
          <w:szCs w:val="28"/>
          <w:lang w:val="en-US"/>
        </w:rPr>
        <w:t>Comisiilor</w:t>
      </w:r>
      <w:proofErr w:type="spellEnd"/>
      <w:r w:rsidR="00131A28" w:rsidRPr="00350929">
        <w:rPr>
          <w:sz w:val="28"/>
          <w:szCs w:val="28"/>
          <w:lang w:val="en-US"/>
        </w:rPr>
        <w:t xml:space="preserve"> </w:t>
      </w:r>
      <w:r w:rsidRPr="00350929">
        <w:rPr>
          <w:sz w:val="28"/>
          <w:szCs w:val="28"/>
          <w:lang w:val="en-US"/>
        </w:rPr>
        <w:t xml:space="preserve"> consultative</w:t>
      </w:r>
      <w:r w:rsidR="0094568E" w:rsidRPr="00350929">
        <w:rPr>
          <w:sz w:val="28"/>
          <w:szCs w:val="28"/>
          <w:lang w:val="en-US"/>
        </w:rPr>
        <w:t xml:space="preserve"> a </w:t>
      </w:r>
      <w:proofErr w:type="spellStart"/>
      <w:r w:rsidR="0094568E" w:rsidRPr="00350929">
        <w:rPr>
          <w:sz w:val="28"/>
          <w:szCs w:val="28"/>
          <w:lang w:val="en-US"/>
        </w:rPr>
        <w:t>Consiliului</w:t>
      </w:r>
      <w:proofErr w:type="spellEnd"/>
      <w:r w:rsidR="0094568E" w:rsidRPr="00350929">
        <w:rPr>
          <w:sz w:val="28"/>
          <w:szCs w:val="28"/>
          <w:lang w:val="en-US"/>
        </w:rPr>
        <w:t xml:space="preserve"> </w:t>
      </w:r>
      <w:proofErr w:type="spellStart"/>
      <w:r w:rsidR="0094568E" w:rsidRPr="00350929">
        <w:rPr>
          <w:sz w:val="28"/>
          <w:szCs w:val="28"/>
          <w:lang w:val="en-US"/>
        </w:rPr>
        <w:t>Raional</w:t>
      </w:r>
      <w:proofErr w:type="spellEnd"/>
      <w:r w:rsidR="0094568E" w:rsidRPr="00350929">
        <w:rPr>
          <w:sz w:val="28"/>
          <w:szCs w:val="28"/>
          <w:lang w:val="en-US"/>
        </w:rPr>
        <w:t xml:space="preserve"> </w:t>
      </w:r>
      <w:proofErr w:type="spellStart"/>
      <w:r w:rsidR="0094568E" w:rsidRPr="00350929">
        <w:rPr>
          <w:sz w:val="28"/>
          <w:szCs w:val="28"/>
          <w:lang w:val="en-US"/>
        </w:rPr>
        <w:t>Rîșcani</w:t>
      </w:r>
      <w:proofErr w:type="spellEnd"/>
      <w:r w:rsidRPr="00350929">
        <w:rPr>
          <w:sz w:val="28"/>
          <w:szCs w:val="28"/>
          <w:lang w:val="en-US"/>
        </w:rPr>
        <w:t>.</w:t>
      </w:r>
    </w:p>
    <w:p w14:paraId="047AD91E" w14:textId="77777777" w:rsidR="00AC6BC1" w:rsidRDefault="00AC6BC1" w:rsidP="00066786">
      <w:pPr>
        <w:pStyle w:val="aa"/>
        <w:widowControl/>
        <w:autoSpaceDE/>
        <w:jc w:val="both"/>
        <w:rPr>
          <w:sz w:val="28"/>
          <w:szCs w:val="28"/>
          <w:lang w:val="en-US"/>
        </w:rPr>
      </w:pPr>
    </w:p>
    <w:p w14:paraId="77E7FD8E" w14:textId="77777777" w:rsidR="007B6796" w:rsidRDefault="007B6796" w:rsidP="007B6796">
      <w:pPr>
        <w:pStyle w:val="aa"/>
        <w:widowControl/>
        <w:autoSpaceDE/>
        <w:rPr>
          <w:sz w:val="28"/>
          <w:szCs w:val="28"/>
          <w:lang w:val="en-US"/>
        </w:rPr>
      </w:pPr>
    </w:p>
    <w:p w14:paraId="19F7307E" w14:textId="77777777" w:rsidR="007B6796" w:rsidRDefault="007B6796" w:rsidP="007B6796">
      <w:pPr>
        <w:pStyle w:val="aa"/>
        <w:widowControl/>
        <w:autoSpaceDE/>
        <w:rPr>
          <w:sz w:val="28"/>
          <w:szCs w:val="28"/>
          <w:lang w:val="en-US"/>
        </w:rPr>
      </w:pPr>
    </w:p>
    <w:p w14:paraId="3B0C07A6" w14:textId="77777777" w:rsidR="007B6796" w:rsidRDefault="007B6796" w:rsidP="007B6796">
      <w:pPr>
        <w:pStyle w:val="aa"/>
        <w:widowControl/>
        <w:autoSpaceDE/>
        <w:rPr>
          <w:sz w:val="28"/>
          <w:szCs w:val="28"/>
          <w:lang w:val="en-US"/>
        </w:rPr>
      </w:pPr>
    </w:p>
    <w:p w14:paraId="578E35C8" w14:textId="77777777" w:rsidR="007B6796" w:rsidRDefault="007B6796" w:rsidP="007B6796">
      <w:pPr>
        <w:rPr>
          <w:sz w:val="20"/>
          <w:szCs w:val="20"/>
          <w:lang w:val="en-US"/>
        </w:rPr>
      </w:pPr>
    </w:p>
    <w:p w14:paraId="05B228A1" w14:textId="77777777" w:rsidR="007B6796" w:rsidRDefault="007B6796" w:rsidP="007B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Preşedinte al şedinţei                              </w:t>
      </w:r>
    </w:p>
    <w:p w14:paraId="1ECD5C57" w14:textId="77777777" w:rsidR="007B6796" w:rsidRDefault="007B6796" w:rsidP="007B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Consiliului raional                                                                    </w:t>
      </w:r>
    </w:p>
    <w:p w14:paraId="475C43C1" w14:textId="77777777" w:rsidR="007B6796" w:rsidRDefault="007B6796" w:rsidP="007B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14:paraId="39A02E43" w14:textId="77777777" w:rsidR="007B6796" w:rsidRDefault="007B6796" w:rsidP="007B67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Secretară a Consiliului raional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R.Postolachi</w:t>
      </w:r>
    </w:p>
    <w:p w14:paraId="511B9070" w14:textId="77777777" w:rsidR="007B6796" w:rsidRDefault="007B6796" w:rsidP="007B6796">
      <w:pPr>
        <w:widowControl/>
        <w:autoSpaceDE/>
        <w:autoSpaceDN/>
        <w:rPr>
          <w:b/>
          <w:sz w:val="28"/>
          <w:szCs w:val="28"/>
        </w:rPr>
        <w:sectPr w:rsidR="007B6796">
          <w:pgSz w:w="11910" w:h="16840"/>
          <w:pgMar w:top="1040" w:right="1020" w:bottom="709" w:left="1600" w:header="720" w:footer="720" w:gutter="0"/>
          <w:cols w:space="720"/>
        </w:sectPr>
      </w:pPr>
    </w:p>
    <w:p w14:paraId="2980F932" w14:textId="77777777" w:rsidR="007B6796" w:rsidRDefault="007B6796" w:rsidP="007B6796">
      <w:pPr>
        <w:tabs>
          <w:tab w:val="left" w:pos="884"/>
          <w:tab w:val="left" w:pos="1196"/>
        </w:tabs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NOTĂ INFORMATIVĂ</w:t>
      </w:r>
    </w:p>
    <w:p w14:paraId="53E4CB34" w14:textId="3E4570A3" w:rsidR="007B6796" w:rsidRDefault="007B6796" w:rsidP="007B6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 proiectul de decizie n</w:t>
      </w:r>
      <w:r w:rsidR="0032522D">
        <w:rPr>
          <w:b/>
          <w:sz w:val="28"/>
          <w:szCs w:val="28"/>
        </w:rPr>
        <w:t xml:space="preserve">r. </w:t>
      </w:r>
      <w:r w:rsidR="00E67B6B">
        <w:rPr>
          <w:b/>
          <w:sz w:val="28"/>
          <w:szCs w:val="28"/>
        </w:rPr>
        <w:t>02/</w:t>
      </w:r>
      <w:r w:rsidR="0032522D">
        <w:rPr>
          <w:b/>
          <w:sz w:val="28"/>
          <w:szCs w:val="28"/>
        </w:rPr>
        <w:t xml:space="preserve">  din </w:t>
      </w:r>
      <w:r w:rsidR="00E67B6B">
        <w:rPr>
          <w:b/>
          <w:sz w:val="28"/>
          <w:szCs w:val="28"/>
        </w:rPr>
        <w:t>martie</w:t>
      </w:r>
      <w:r w:rsidR="0032522D">
        <w:rPr>
          <w:b/>
          <w:sz w:val="28"/>
          <w:szCs w:val="28"/>
        </w:rPr>
        <w:t xml:space="preserve"> 2026</w:t>
      </w:r>
    </w:p>
    <w:p w14:paraId="0B547424" w14:textId="77777777" w:rsidR="007B6796" w:rsidRDefault="007B6796" w:rsidP="007B6796">
      <w:pPr>
        <w:jc w:val="center"/>
        <w:rPr>
          <w:b/>
          <w:sz w:val="28"/>
          <w:szCs w:val="28"/>
        </w:rPr>
      </w:pPr>
    </w:p>
    <w:p w14:paraId="41F85249" w14:textId="77777777" w:rsidR="007B6796" w:rsidRDefault="007B6796" w:rsidP="007B6796">
      <w:pPr>
        <w:jc w:val="center"/>
        <w:rPr>
          <w:b/>
          <w:sz w:val="28"/>
          <w:szCs w:val="28"/>
        </w:rPr>
      </w:pPr>
    </w:p>
    <w:p w14:paraId="6E797FC0" w14:textId="77777777" w:rsidR="00F20B71" w:rsidRDefault="007B6796" w:rsidP="00F20B71">
      <w:pPr>
        <w:rPr>
          <w:b/>
          <w:bCs/>
          <w:sz w:val="28"/>
          <w:szCs w:val="28"/>
          <w:lang w:val="en-US"/>
        </w:rPr>
      </w:pPr>
      <w:r w:rsidRPr="000C0C3C">
        <w:rPr>
          <w:b/>
          <w:i/>
          <w:sz w:val="28"/>
          <w:szCs w:val="28"/>
        </w:rPr>
        <w:t xml:space="preserve">Cu privire la </w:t>
      </w:r>
      <w:r w:rsidR="00F20B71" w:rsidRPr="000C0C3C">
        <w:rPr>
          <w:b/>
          <w:sz w:val="28"/>
          <w:szCs w:val="28"/>
        </w:rPr>
        <w:t xml:space="preserve"> </w:t>
      </w:r>
      <w:r w:rsidR="00066786" w:rsidRPr="00066786">
        <w:rPr>
          <w:b/>
          <w:i/>
          <w:sz w:val="28"/>
          <w:szCs w:val="28"/>
        </w:rPr>
        <w:t>aprobarea inițiativei de participare în calitate de membru fondator la Gruparea Europeană  de</w:t>
      </w:r>
      <w:r w:rsidR="00DA747A">
        <w:rPr>
          <w:b/>
          <w:i/>
          <w:sz w:val="28"/>
          <w:szCs w:val="28"/>
        </w:rPr>
        <w:t xml:space="preserve"> Cooperare Teritorială (GEC</w:t>
      </w:r>
      <w:r w:rsidR="00066786" w:rsidRPr="00066786">
        <w:rPr>
          <w:b/>
          <w:i/>
          <w:sz w:val="28"/>
          <w:szCs w:val="28"/>
        </w:rPr>
        <w:t>T) „EAST GATE”, aprobarea cont</w:t>
      </w:r>
      <w:r w:rsidR="0032522D">
        <w:rPr>
          <w:b/>
          <w:i/>
          <w:sz w:val="28"/>
          <w:szCs w:val="28"/>
        </w:rPr>
        <w:t xml:space="preserve">ractului de asistență tehnică, </w:t>
      </w:r>
      <w:r w:rsidR="00066786" w:rsidRPr="00066786">
        <w:rPr>
          <w:b/>
          <w:i/>
          <w:sz w:val="28"/>
          <w:szCs w:val="28"/>
        </w:rPr>
        <w:t xml:space="preserve"> juridică și bugetară contribuției unice aferente fazei de constituire</w:t>
      </w:r>
    </w:p>
    <w:p w14:paraId="4626E2A9" w14:textId="77777777" w:rsidR="007B6796" w:rsidRDefault="007B6796" w:rsidP="007B6796">
      <w:pPr>
        <w:rPr>
          <w:b/>
          <w:bCs/>
          <w:i/>
          <w:sz w:val="28"/>
          <w:szCs w:val="28"/>
          <w:lang w:val="en-US"/>
        </w:rPr>
      </w:pPr>
    </w:p>
    <w:p w14:paraId="5CD23540" w14:textId="77777777" w:rsidR="007B6796" w:rsidRDefault="007B6796" w:rsidP="007B6796">
      <w:pPr>
        <w:pStyle w:val="aa"/>
        <w:spacing w:line="276" w:lineRule="auto"/>
        <w:ind w:left="0" w:right="-284"/>
        <w:jc w:val="both"/>
        <w:rPr>
          <w:b/>
          <w:color w:val="000000"/>
          <w:sz w:val="28"/>
          <w:szCs w:val="28"/>
        </w:rPr>
      </w:pPr>
    </w:p>
    <w:p w14:paraId="0751B983" w14:textId="77777777" w:rsidR="007B6796" w:rsidRDefault="007B6796" w:rsidP="007B6796">
      <w:pPr>
        <w:pStyle w:val="aa"/>
        <w:spacing w:line="276" w:lineRule="auto"/>
        <w:ind w:left="0" w:right="-28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1.Denumirea autorului şi, după caz, a participanţilor la elaborarea proiectului: </w:t>
      </w:r>
      <w:r>
        <w:rPr>
          <w:sz w:val="28"/>
          <w:szCs w:val="28"/>
        </w:rPr>
        <w:t>Proiectul de decizie a fost</w:t>
      </w:r>
      <w:r w:rsidR="00066786">
        <w:rPr>
          <w:sz w:val="28"/>
          <w:szCs w:val="28"/>
        </w:rPr>
        <w:t xml:space="preserve"> inițiat de Președintele raionului Rîșcani și </w:t>
      </w:r>
      <w:r>
        <w:rPr>
          <w:sz w:val="28"/>
          <w:szCs w:val="28"/>
        </w:rPr>
        <w:t xml:space="preserve"> elaborat de către Serviciul Atragerea Investițiilor și Dezvoltare Regională.</w:t>
      </w:r>
    </w:p>
    <w:p w14:paraId="65468139" w14:textId="77777777" w:rsidR="00364A25" w:rsidRPr="000C0C3C" w:rsidRDefault="007B6796" w:rsidP="007B6796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2. Condiţiile ce au impus elaborarea proiectului de act normativ şi finalităţile urmărite:  </w:t>
      </w:r>
      <w:r>
        <w:rPr>
          <w:sz w:val="28"/>
          <w:szCs w:val="28"/>
        </w:rPr>
        <w:t xml:space="preserve">Proiectul de decizie a fost elaborat ca urmare a necesității </w:t>
      </w:r>
      <w:r w:rsidR="007D1B9B">
        <w:rPr>
          <w:sz w:val="28"/>
          <w:szCs w:val="28"/>
        </w:rPr>
        <w:t>participării  Consiliului raional Rîșcani</w:t>
      </w:r>
      <w:r w:rsidR="007D1B9B" w:rsidRPr="00C07ACE">
        <w:rPr>
          <w:sz w:val="28"/>
          <w:szCs w:val="28"/>
        </w:rPr>
        <w:t xml:space="preserve"> la </w:t>
      </w:r>
      <w:r w:rsidR="007D1B9B">
        <w:rPr>
          <w:sz w:val="28"/>
          <w:szCs w:val="28"/>
        </w:rPr>
        <w:t>programul</w:t>
      </w:r>
      <w:r w:rsidR="00DA747A">
        <w:rPr>
          <w:sz w:val="28"/>
          <w:szCs w:val="28"/>
        </w:rPr>
        <w:t xml:space="preserve"> pentru descrierea gradului de compatibilitate pentru proiectele care au ca scop armonizarea legislației naționale cu legislația Uniunii Europene.</w:t>
      </w:r>
    </w:p>
    <w:p w14:paraId="5CD84F1B" w14:textId="77777777" w:rsidR="00364A25" w:rsidRPr="00D52CA1" w:rsidRDefault="007B6796" w:rsidP="00D52CA1">
      <w:pPr>
        <w:rPr>
          <w:sz w:val="28"/>
          <w:szCs w:val="36"/>
        </w:rPr>
      </w:pPr>
      <w:r>
        <w:rPr>
          <w:b/>
          <w:sz w:val="28"/>
          <w:szCs w:val="28"/>
        </w:rPr>
        <w:t xml:space="preserve">3. Principalele prevederi ale proiectului şi evidenţierea elementelor noi: </w:t>
      </w:r>
      <w:r>
        <w:rPr>
          <w:sz w:val="28"/>
          <w:szCs w:val="28"/>
        </w:rPr>
        <w:t xml:space="preserve">Prezentul proiect de decizie prevede </w:t>
      </w:r>
      <w:r w:rsidRPr="0094568E">
        <w:rPr>
          <w:sz w:val="28"/>
          <w:szCs w:val="28"/>
        </w:rPr>
        <w:t>aprobarea</w:t>
      </w:r>
      <w:r w:rsidR="007D1B9B" w:rsidRPr="0094568E">
        <w:rPr>
          <w:sz w:val="28"/>
          <w:szCs w:val="28"/>
        </w:rPr>
        <w:t xml:space="preserve"> </w:t>
      </w:r>
      <w:r w:rsidR="0046521A" w:rsidRPr="0094568E">
        <w:rPr>
          <w:sz w:val="28"/>
          <w:szCs w:val="28"/>
        </w:rPr>
        <w:t xml:space="preserve">  </w:t>
      </w:r>
      <w:r w:rsidR="00F20B71" w:rsidRPr="0094568E">
        <w:rPr>
          <w:sz w:val="28"/>
          <w:szCs w:val="28"/>
        </w:rPr>
        <w:t>participării</w:t>
      </w:r>
      <w:r w:rsidR="00364A25">
        <w:rPr>
          <w:bCs/>
          <w:sz w:val="28"/>
          <w:szCs w:val="28"/>
        </w:rPr>
        <w:t xml:space="preserve"> </w:t>
      </w:r>
      <w:r w:rsidR="00DA747A" w:rsidRPr="00DA747A">
        <w:rPr>
          <w:sz w:val="28"/>
          <w:szCs w:val="28"/>
        </w:rPr>
        <w:t>în calitate de membru fondator la Gruparea Europeană  de</w:t>
      </w:r>
      <w:r w:rsidR="00DA747A">
        <w:rPr>
          <w:sz w:val="28"/>
          <w:szCs w:val="28"/>
        </w:rPr>
        <w:t xml:space="preserve"> Cooperare Teritorială (GEC</w:t>
      </w:r>
      <w:r w:rsidR="00DA747A" w:rsidRPr="00DA747A">
        <w:rPr>
          <w:sz w:val="28"/>
          <w:szCs w:val="28"/>
        </w:rPr>
        <w:t>T) „EAST GATE”, aprobarea contractului de asistență te</w:t>
      </w:r>
      <w:r w:rsidR="0032522D">
        <w:rPr>
          <w:sz w:val="28"/>
          <w:szCs w:val="28"/>
        </w:rPr>
        <w:t xml:space="preserve">hnică, </w:t>
      </w:r>
      <w:r w:rsidR="00DA747A" w:rsidRPr="00DA747A">
        <w:rPr>
          <w:sz w:val="28"/>
          <w:szCs w:val="28"/>
        </w:rPr>
        <w:t>juridică și bugetară contribuției unice aferente fazei de constituire.</w:t>
      </w:r>
    </w:p>
    <w:p w14:paraId="715FB21F" w14:textId="77777777" w:rsidR="00DA747A" w:rsidRDefault="007B6796" w:rsidP="007B6796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4. Fundamentarea economico-financiară:</w:t>
      </w:r>
      <w:r>
        <w:rPr>
          <w:color w:val="000000"/>
          <w:sz w:val="28"/>
          <w:szCs w:val="28"/>
        </w:rPr>
        <w:t xml:space="preserve"> Implementarea acestui proiect de </w:t>
      </w:r>
      <w:r>
        <w:rPr>
          <w:sz w:val="28"/>
          <w:szCs w:val="28"/>
        </w:rPr>
        <w:t>decizie</w:t>
      </w:r>
      <w:r w:rsidR="0046521A">
        <w:rPr>
          <w:sz w:val="28"/>
          <w:szCs w:val="28"/>
        </w:rPr>
        <w:t xml:space="preserve"> va necesita cheltuieli suplimentare din bugetul raional pentru asigurarea</w:t>
      </w:r>
      <w:r w:rsidR="00D52CA1">
        <w:rPr>
          <w:sz w:val="28"/>
          <w:szCs w:val="28"/>
        </w:rPr>
        <w:t xml:space="preserve"> </w:t>
      </w:r>
      <w:r w:rsidR="00DA747A">
        <w:rPr>
          <w:color w:val="222222"/>
          <w:sz w:val="28"/>
          <w:szCs w:val="28"/>
        </w:rPr>
        <w:t>Contribuției Unice, aferente Contractului de asistență, prevăzut la pct. 3, necesară pentru funcționarea ST-CI, în valoare de 820 EUR.(opt sute douăzeci euro), echivalentul în Lei Moldovenești calculat la cursul oficial al Băncii Naționale a Moldovei din ziua efectuării plății, din soldul disponibil al  bugetului Consiliului raional Rîșcani pentru anul 2026.</w:t>
      </w:r>
    </w:p>
    <w:p w14:paraId="7F413E01" w14:textId="77777777" w:rsidR="007B6796" w:rsidRDefault="00DA747A" w:rsidP="007B6796">
      <w:pPr>
        <w:jc w:val="both"/>
        <w:rPr>
          <w:sz w:val="28"/>
          <w:szCs w:val="36"/>
        </w:rPr>
      </w:pPr>
      <w:r>
        <w:rPr>
          <w:b/>
          <w:sz w:val="28"/>
          <w:szCs w:val="28"/>
        </w:rPr>
        <w:t xml:space="preserve"> </w:t>
      </w:r>
      <w:r w:rsidR="007B6796">
        <w:rPr>
          <w:b/>
          <w:sz w:val="28"/>
          <w:szCs w:val="28"/>
        </w:rPr>
        <w:t>5. Modul de încorporare a actului în cadrul normativ în vigoare.</w:t>
      </w:r>
      <w:r w:rsidR="007B6796">
        <w:rPr>
          <w:sz w:val="28"/>
          <w:szCs w:val="28"/>
        </w:rPr>
        <w:t xml:space="preserve"> </w:t>
      </w:r>
      <w:r w:rsidR="00713CC8">
        <w:rPr>
          <w:sz w:val="28"/>
          <w:szCs w:val="36"/>
        </w:rPr>
        <w:t xml:space="preserve">În temeiul </w:t>
      </w:r>
      <w:r w:rsidR="00350929">
        <w:rPr>
          <w:sz w:val="28"/>
          <w:szCs w:val="36"/>
        </w:rPr>
        <w:t xml:space="preserve">art. 43, art. 14 </w:t>
      </w:r>
      <w:r w:rsidR="00350929" w:rsidRPr="000C0C3C">
        <w:rPr>
          <w:sz w:val="28"/>
          <w:szCs w:val="36"/>
        </w:rPr>
        <w:t xml:space="preserve"> alin</w:t>
      </w:r>
      <w:r w:rsidR="00350929">
        <w:rPr>
          <w:sz w:val="28"/>
          <w:szCs w:val="36"/>
        </w:rPr>
        <w:t>.(1</w:t>
      </w:r>
      <w:r w:rsidR="00350929" w:rsidRPr="000C0C3C">
        <w:rPr>
          <w:sz w:val="28"/>
          <w:szCs w:val="36"/>
        </w:rPr>
        <w:t>), l</w:t>
      </w:r>
      <w:r w:rsidR="00350929">
        <w:rPr>
          <w:sz w:val="28"/>
          <w:szCs w:val="36"/>
        </w:rPr>
        <w:t>it.k</w:t>
      </w:r>
      <w:r w:rsidR="00350929" w:rsidRPr="000C0C3C">
        <w:rPr>
          <w:sz w:val="28"/>
          <w:szCs w:val="36"/>
        </w:rPr>
        <w:t>)</w:t>
      </w:r>
      <w:r w:rsidR="00350929">
        <w:rPr>
          <w:sz w:val="28"/>
          <w:szCs w:val="36"/>
        </w:rPr>
        <w:t xml:space="preserve"> și alin (4)  din Legea</w:t>
      </w:r>
      <w:r w:rsidR="00350929" w:rsidRPr="000C0C3C">
        <w:rPr>
          <w:sz w:val="28"/>
          <w:szCs w:val="36"/>
        </w:rPr>
        <w:t xml:space="preserve"> nr. 436 /2006 privind adm</w:t>
      </w:r>
      <w:r w:rsidR="00350929">
        <w:rPr>
          <w:sz w:val="28"/>
          <w:szCs w:val="36"/>
        </w:rPr>
        <w:t>inistrația publică locală, cu modificările  și completările ulterioare, Legii</w:t>
      </w:r>
      <w:r w:rsidR="00350929" w:rsidRPr="000C0C3C">
        <w:rPr>
          <w:sz w:val="28"/>
          <w:szCs w:val="36"/>
        </w:rPr>
        <w:t xml:space="preserve"> nr.397/2003 p</w:t>
      </w:r>
      <w:r w:rsidR="00350929">
        <w:rPr>
          <w:sz w:val="28"/>
          <w:szCs w:val="36"/>
        </w:rPr>
        <w:t>rivind finanțele publice locale și Legii nr. 181/2014 privind finanțele publice și responsabilitatea bugetar-fiscală, Regulamentul (CE) nr.  1082/2006, modificat prin Regulamentul (UE) nr. 1302/2013 , privind o Grupare europeană de Cooperare Teritorială (GECT) , Hotărârile nr.  1-4/2025 a Comitetului de inițiativă pentru constituirea GECT.</w:t>
      </w:r>
    </w:p>
    <w:p w14:paraId="04F49830" w14:textId="77777777" w:rsidR="007B6796" w:rsidRDefault="007B6796" w:rsidP="007B6796">
      <w:pPr>
        <w:spacing w:after="1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Avizarea și consultarea publică a proiectului.</w:t>
      </w:r>
    </w:p>
    <w:p w14:paraId="367F2B9A" w14:textId="77777777" w:rsidR="007B6796" w:rsidRDefault="007B6796" w:rsidP="007B6796">
      <w:pPr>
        <w:ind w:right="-284"/>
        <w:jc w:val="both"/>
        <w:rPr>
          <w:color w:val="000000"/>
          <w:sz w:val="28"/>
          <w:szCs w:val="28"/>
        </w:rPr>
      </w:pPr>
      <w:r w:rsidRPr="00D52CA1">
        <w:rPr>
          <w:color w:val="000000"/>
          <w:sz w:val="28"/>
          <w:szCs w:val="28"/>
        </w:rPr>
        <w:t>În scopul respectării prevederii Legii n</w:t>
      </w:r>
      <w:r w:rsidR="00FB48F2">
        <w:rPr>
          <w:color w:val="000000"/>
          <w:sz w:val="28"/>
          <w:szCs w:val="28"/>
        </w:rPr>
        <w:t>r.239/</w:t>
      </w:r>
      <w:r w:rsidRPr="00D52CA1">
        <w:rPr>
          <w:color w:val="000000"/>
          <w:sz w:val="28"/>
          <w:szCs w:val="28"/>
        </w:rPr>
        <w:t>2008 privind transparența în procesul deciz</w:t>
      </w:r>
      <w:r w:rsidR="00FB48F2">
        <w:rPr>
          <w:color w:val="000000"/>
          <w:sz w:val="28"/>
          <w:szCs w:val="28"/>
        </w:rPr>
        <w:t>ional și Legii nr.100 /</w:t>
      </w:r>
      <w:r w:rsidRPr="00D52CA1">
        <w:rPr>
          <w:color w:val="000000"/>
          <w:sz w:val="28"/>
          <w:szCs w:val="28"/>
        </w:rPr>
        <w:t>2017 cu privire la actele normative, anunțul cu privire la inițierea elaborării proiectului de decizie cu toate explicațiile de rigoare a fost plasat pe pagina web a Consiliului raional Rîșcani.</w:t>
      </w:r>
      <w:r>
        <w:rPr>
          <w:color w:val="000000"/>
          <w:sz w:val="28"/>
          <w:szCs w:val="28"/>
        </w:rPr>
        <w:t xml:space="preserve"> Proiectul de decizie, se prezintă comisiilor de specialitate pentru avizare și se propune Consiliului raional pentru examinare și aprobare.</w:t>
      </w:r>
    </w:p>
    <w:p w14:paraId="47B87555" w14:textId="77777777" w:rsidR="007B6796" w:rsidRDefault="007B6796" w:rsidP="007B6796">
      <w:pPr>
        <w:pStyle w:val="aa"/>
        <w:ind w:left="0" w:right="-284"/>
        <w:jc w:val="both"/>
        <w:rPr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7. Constatările expertizei juridice.</w:t>
      </w:r>
      <w:r w:rsidR="0046521A">
        <w:rPr>
          <w:b/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Proiectul de decizie a fost examinat de serviciul juridic al Aparatului președintelui, care a confirmat că decizia corespunde normelor legale.</w:t>
      </w:r>
    </w:p>
    <w:p w14:paraId="0A7A152D" w14:textId="77777777" w:rsidR="007B6796" w:rsidRDefault="007B6796" w:rsidP="007B6796">
      <w:pPr>
        <w:ind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088B03EB" w14:textId="77777777" w:rsidR="007B6796" w:rsidRDefault="007B6796" w:rsidP="007B6796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5821F40F" w14:textId="77777777" w:rsidR="007B6796" w:rsidRDefault="007B6796" w:rsidP="007B6796">
      <w:pPr>
        <w:ind w:right="-284"/>
        <w:jc w:val="both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  </w:t>
      </w:r>
      <w:proofErr w:type="spellStart"/>
      <w:r w:rsidR="00066786">
        <w:rPr>
          <w:b/>
          <w:sz w:val="28"/>
          <w:szCs w:val="28"/>
          <w:lang w:val="en-US"/>
        </w:rPr>
        <w:t>Specialistă</w:t>
      </w:r>
      <w:proofErr w:type="spellEnd"/>
      <w:r w:rsidR="00066786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066786">
        <w:rPr>
          <w:b/>
          <w:sz w:val="28"/>
          <w:szCs w:val="28"/>
          <w:lang w:val="en-US"/>
        </w:rPr>
        <w:t>principală</w:t>
      </w:r>
      <w:proofErr w:type="spellEnd"/>
      <w:r w:rsidR="00066786">
        <w:rPr>
          <w:b/>
          <w:sz w:val="28"/>
          <w:szCs w:val="28"/>
          <w:lang w:val="en-US"/>
        </w:rPr>
        <w:t xml:space="preserve">  SAIDR</w:t>
      </w:r>
      <w:proofErr w:type="gramEnd"/>
      <w:r w:rsidR="00066786">
        <w:rPr>
          <w:b/>
          <w:sz w:val="28"/>
          <w:szCs w:val="28"/>
          <w:lang w:val="en-US"/>
        </w:rPr>
        <w:t xml:space="preserve">                           Liudmila TOZLOVANU</w:t>
      </w:r>
      <w:r>
        <w:rPr>
          <w:sz w:val="28"/>
          <w:szCs w:val="28"/>
        </w:rPr>
        <w:t xml:space="preserve">   </w:t>
      </w:r>
    </w:p>
    <w:p w14:paraId="299CCB4D" w14:textId="77777777" w:rsidR="007B6796" w:rsidRDefault="007B6796" w:rsidP="007B6796">
      <w:pPr>
        <w:rPr>
          <w:sz w:val="28"/>
          <w:szCs w:val="28"/>
          <w:lang w:val="en-US"/>
        </w:rPr>
      </w:pPr>
    </w:p>
    <w:p w14:paraId="7F30195E" w14:textId="77777777" w:rsidR="007B6796" w:rsidRDefault="007B6796" w:rsidP="007B679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Coordonat</w:t>
      </w:r>
      <w:proofErr w:type="spellEnd"/>
      <w:r>
        <w:rPr>
          <w:sz w:val="28"/>
          <w:szCs w:val="28"/>
          <w:lang w:val="en-US"/>
        </w:rPr>
        <w:t>:</w:t>
      </w:r>
    </w:p>
    <w:p w14:paraId="734A2787" w14:textId="77777777" w:rsidR="00350929" w:rsidRDefault="00066786" w:rsidP="007B6796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Vicepreședintă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raionului</w:t>
      </w:r>
      <w:proofErr w:type="spellEnd"/>
      <w:r>
        <w:rPr>
          <w:sz w:val="28"/>
          <w:szCs w:val="28"/>
          <w:lang w:val="en-US"/>
        </w:rPr>
        <w:t xml:space="preserve">                                          </w:t>
      </w:r>
      <w:r w:rsidR="00D52CA1">
        <w:rPr>
          <w:sz w:val="28"/>
          <w:szCs w:val="28"/>
          <w:lang w:val="en-US"/>
        </w:rPr>
        <w:t xml:space="preserve">L. </w:t>
      </w:r>
      <w:proofErr w:type="spellStart"/>
      <w:r w:rsidR="00D52CA1">
        <w:rPr>
          <w:sz w:val="28"/>
          <w:szCs w:val="28"/>
          <w:lang w:val="en-US"/>
        </w:rPr>
        <w:t>Dîncenoc</w:t>
      </w:r>
      <w:proofErr w:type="spellEnd"/>
    </w:p>
    <w:p w14:paraId="7EDB53F6" w14:textId="77777777" w:rsidR="00066786" w:rsidRDefault="00350929" w:rsidP="007B679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Specialist </w:t>
      </w:r>
      <w:proofErr w:type="gramStart"/>
      <w:r>
        <w:rPr>
          <w:sz w:val="28"/>
          <w:szCs w:val="28"/>
          <w:lang w:val="en-US"/>
        </w:rPr>
        <w:t>principal</w:t>
      </w:r>
      <w:r w:rsidR="00066786">
        <w:rPr>
          <w:sz w:val="28"/>
          <w:szCs w:val="28"/>
          <w:lang w:val="en-US"/>
        </w:rPr>
        <w:t xml:space="preserve">  </w:t>
      </w:r>
      <w:proofErr w:type="spellStart"/>
      <w:r w:rsidR="00066786">
        <w:rPr>
          <w:sz w:val="28"/>
          <w:szCs w:val="28"/>
          <w:lang w:val="en-US"/>
        </w:rPr>
        <w:t>Serviciul</w:t>
      </w:r>
      <w:proofErr w:type="spellEnd"/>
      <w:proofErr w:type="gramEnd"/>
      <w:r w:rsidR="00066786">
        <w:rPr>
          <w:sz w:val="28"/>
          <w:szCs w:val="28"/>
          <w:lang w:val="en-US"/>
        </w:rPr>
        <w:t xml:space="preserve"> Juridic                  </w:t>
      </w:r>
      <w:r>
        <w:rPr>
          <w:sz w:val="28"/>
          <w:szCs w:val="28"/>
          <w:lang w:val="en-US"/>
        </w:rPr>
        <w:t xml:space="preserve">      </w:t>
      </w:r>
      <w:r w:rsidR="00FB48F2">
        <w:rPr>
          <w:sz w:val="28"/>
          <w:szCs w:val="28"/>
          <w:lang w:val="en-US"/>
        </w:rPr>
        <w:t xml:space="preserve">M. </w:t>
      </w:r>
      <w:proofErr w:type="spellStart"/>
      <w:r w:rsidR="00FB48F2">
        <w:rPr>
          <w:sz w:val="28"/>
          <w:szCs w:val="28"/>
          <w:lang w:val="en-US"/>
        </w:rPr>
        <w:t>Volschi</w:t>
      </w:r>
      <w:proofErr w:type="spellEnd"/>
    </w:p>
    <w:p w14:paraId="3F30F030" w14:textId="77777777" w:rsidR="00B92816" w:rsidRDefault="0032522D" w:rsidP="007B679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066786">
        <w:rPr>
          <w:sz w:val="28"/>
          <w:szCs w:val="28"/>
          <w:lang w:val="en-US"/>
        </w:rPr>
        <w:t>Șefă</w:t>
      </w:r>
      <w:proofErr w:type="spellEnd"/>
      <w:r w:rsidR="00066786">
        <w:rPr>
          <w:sz w:val="28"/>
          <w:szCs w:val="28"/>
          <w:lang w:val="en-US"/>
        </w:rPr>
        <w:t xml:space="preserve"> </w:t>
      </w:r>
      <w:proofErr w:type="spellStart"/>
      <w:r w:rsidR="00066786">
        <w:rPr>
          <w:sz w:val="28"/>
          <w:szCs w:val="28"/>
          <w:lang w:val="en-US"/>
        </w:rPr>
        <w:t>Direcția</w:t>
      </w:r>
      <w:proofErr w:type="spellEnd"/>
      <w:r w:rsidR="00066786">
        <w:rPr>
          <w:sz w:val="28"/>
          <w:szCs w:val="28"/>
          <w:lang w:val="en-US"/>
        </w:rPr>
        <w:t xml:space="preserve"> </w:t>
      </w:r>
      <w:proofErr w:type="spellStart"/>
      <w:r w:rsidR="00066786">
        <w:rPr>
          <w:sz w:val="28"/>
          <w:szCs w:val="28"/>
          <w:lang w:val="en-US"/>
        </w:rPr>
        <w:t>Finanțe</w:t>
      </w:r>
      <w:proofErr w:type="spellEnd"/>
      <w:r w:rsidR="00066786">
        <w:rPr>
          <w:sz w:val="28"/>
          <w:szCs w:val="28"/>
          <w:lang w:val="en-US"/>
        </w:rPr>
        <w:t xml:space="preserve">                                                  </w:t>
      </w:r>
      <w:proofErr w:type="spellStart"/>
      <w:r w:rsidR="00B92816">
        <w:rPr>
          <w:sz w:val="28"/>
          <w:szCs w:val="28"/>
          <w:lang w:val="en-US"/>
        </w:rPr>
        <w:t>S.Lupașcu</w:t>
      </w:r>
      <w:proofErr w:type="spellEnd"/>
    </w:p>
    <w:p w14:paraId="537B49F6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3BD14B1E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73B9530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3D743BA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44E28FD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5873378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0ECE8054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31DC20D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47AA34A7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7B2D2E4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52516811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8123BF4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0E92C913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303891AE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05398766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0B0BF69A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5001B4E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5024635D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F04D36F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7300B57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92FBD0F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774A19F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40691AF1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B3B62A6" w14:textId="77777777" w:rsidR="00F932A4" w:rsidRPr="00EF6D72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i/>
          <w:color w:val="000000"/>
          <w:lang w:val="en-US"/>
        </w:rPr>
      </w:pPr>
      <w:proofErr w:type="spellStart"/>
      <w:r w:rsidRPr="00EF6D72">
        <w:rPr>
          <w:bCs/>
          <w:i/>
          <w:color w:val="000000"/>
          <w:lang w:val="en-US"/>
        </w:rPr>
        <w:lastRenderedPageBreak/>
        <w:t>Anexa</w:t>
      </w:r>
      <w:proofErr w:type="spellEnd"/>
      <w:r>
        <w:rPr>
          <w:bCs/>
          <w:i/>
          <w:color w:val="000000"/>
          <w:lang w:val="en-US"/>
        </w:rPr>
        <w:t xml:space="preserve"> 1</w:t>
      </w:r>
      <w:r w:rsidRPr="00EF6D72">
        <w:rPr>
          <w:bCs/>
          <w:i/>
          <w:color w:val="000000"/>
          <w:lang w:val="en-US"/>
        </w:rPr>
        <w:t xml:space="preserve"> </w:t>
      </w:r>
    </w:p>
    <w:p w14:paraId="50443EA3" w14:textId="77777777" w:rsidR="00F932A4" w:rsidRPr="00EF6D72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color w:val="000000"/>
          <w:lang w:val="en-US"/>
        </w:rPr>
      </w:pPr>
      <w:r w:rsidRPr="00EF6D72">
        <w:rPr>
          <w:bCs/>
          <w:color w:val="000000"/>
          <w:lang w:val="en-US"/>
        </w:rPr>
        <w:t xml:space="preserve">La </w:t>
      </w:r>
      <w:proofErr w:type="spellStart"/>
      <w:r w:rsidRPr="00EF6D72">
        <w:rPr>
          <w:bCs/>
          <w:color w:val="000000"/>
          <w:lang w:val="en-US"/>
        </w:rPr>
        <w:t>Decizia</w:t>
      </w:r>
      <w:proofErr w:type="spellEnd"/>
      <w:r w:rsidRPr="00EF6D72"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Consiliului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raional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Rîșcani</w:t>
      </w:r>
      <w:proofErr w:type="spellEnd"/>
    </w:p>
    <w:p w14:paraId="6523E63A" w14:textId="77777777" w:rsidR="00F932A4" w:rsidRPr="00D350B4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color w:val="000000"/>
          <w:sz w:val="28"/>
          <w:szCs w:val="28"/>
          <w:lang w:val="en-US"/>
        </w:rPr>
      </w:pPr>
      <w:r w:rsidRPr="00EF6D72">
        <w:rPr>
          <w:bCs/>
          <w:color w:val="000000"/>
          <w:lang w:val="en-US"/>
        </w:rPr>
        <w:t xml:space="preserve">           Nr.</w:t>
      </w:r>
      <w:r>
        <w:rPr>
          <w:bCs/>
          <w:color w:val="000000"/>
          <w:lang w:val="en-US"/>
        </w:rPr>
        <w:t>____</w:t>
      </w:r>
      <w:r w:rsidRPr="00EF6D72">
        <w:rPr>
          <w:bCs/>
          <w:color w:val="000000"/>
          <w:lang w:val="en-US"/>
        </w:rPr>
        <w:t xml:space="preserve"> din </w:t>
      </w:r>
      <w:r>
        <w:rPr>
          <w:bCs/>
          <w:color w:val="000000"/>
          <w:lang w:val="en-US"/>
        </w:rPr>
        <w:t>_________________2026</w:t>
      </w:r>
    </w:p>
    <w:p w14:paraId="2D44384E" w14:textId="77777777" w:rsidR="00F932A4" w:rsidRPr="00366A4F" w:rsidRDefault="00F932A4" w:rsidP="00F932A4">
      <w:pPr>
        <w:pStyle w:val="12"/>
        <w:spacing w:after="160" w:line="27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2D30DE21" w14:textId="77777777" w:rsidR="00F932A4" w:rsidRPr="00366A4F" w:rsidRDefault="00F932A4" w:rsidP="00F932A4">
      <w:pPr>
        <w:pStyle w:val="12"/>
        <w:spacing w:after="160" w:line="27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46C67101" w14:textId="77777777" w:rsidR="00F932A4" w:rsidRPr="00366A4F" w:rsidRDefault="00F932A4" w:rsidP="00F932A4">
      <w:pPr>
        <w:pStyle w:val="12"/>
        <w:spacing w:after="160" w:line="27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proiect</w:t>
      </w:r>
      <w:proofErr w:type="spellEnd"/>
    </w:p>
    <w:p w14:paraId="45EA051C" w14:textId="77777777" w:rsidR="00F932A4" w:rsidRPr="00366A4F" w:rsidRDefault="00F932A4" w:rsidP="00F932A4">
      <w:pPr>
        <w:pStyle w:val="1"/>
        <w:spacing w:before="0" w:after="0" w:line="275" w:lineRule="auto"/>
        <w:jc w:val="center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</w:p>
    <w:p w14:paraId="3DD2E388" w14:textId="77777777" w:rsidR="00F932A4" w:rsidRPr="00366A4F" w:rsidRDefault="00F932A4" w:rsidP="00F932A4">
      <w:pPr>
        <w:pStyle w:val="1"/>
        <w:spacing w:before="0" w:after="80" w:line="275" w:lineRule="auto"/>
        <w:jc w:val="center"/>
        <w:rPr>
          <w:rFonts w:ascii="Times New Roman" w:eastAsia="Times New Roman" w:hAnsi="Times New Roman"/>
          <w:b w:val="0"/>
          <w:bCs w:val="0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CONVENȚIE</w:t>
      </w:r>
    </w:p>
    <w:p w14:paraId="5E6FA282" w14:textId="77777777" w:rsidR="00F932A4" w:rsidRPr="00366A4F" w:rsidRDefault="00F932A4" w:rsidP="00F932A4">
      <w:pPr>
        <w:pStyle w:val="12"/>
        <w:spacing w:after="80" w:line="275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constituirea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Grupării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(GECT) </w:t>
      </w:r>
    </w:p>
    <w:p w14:paraId="7BBA47B7" w14:textId="77777777" w:rsidR="00F932A4" w:rsidRPr="00366A4F" w:rsidRDefault="00F932A4" w:rsidP="00F932A4">
      <w:pPr>
        <w:pStyle w:val="12"/>
        <w:spacing w:after="160" w:line="275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„EAST GATE”</w:t>
      </w:r>
    </w:p>
    <w:p w14:paraId="345E264D" w14:textId="77777777" w:rsidR="00F932A4" w:rsidRPr="00366A4F" w:rsidRDefault="00F932A4" w:rsidP="00F932A4">
      <w:pPr>
        <w:pStyle w:val="12"/>
        <w:spacing w:after="160" w:line="275" w:lineRule="auto"/>
        <w:jc w:val="center"/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 xml:space="preserve">(Data </w:t>
      </w:r>
      <w:proofErr w:type="spellStart"/>
      <w:r w:rsidRPr="00366A4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>adoptării</w:t>
      </w:r>
      <w:proofErr w:type="spellEnd"/>
      <w:r w:rsidRPr="00366A4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>)</w:t>
      </w:r>
    </w:p>
    <w:p w14:paraId="1AF02454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</w:pPr>
    </w:p>
    <w:p w14:paraId="09AE6184" w14:textId="77777777" w:rsidR="00F932A4" w:rsidRPr="00366A4F" w:rsidRDefault="00F932A4" w:rsidP="00F932A4">
      <w:pPr>
        <w:pStyle w:val="2"/>
        <w:spacing w:before="0" w:after="0" w:line="275" w:lineRule="auto"/>
        <w:jc w:val="center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PREAMBUL</w:t>
      </w:r>
    </w:p>
    <w:p w14:paraId="01DFC4DF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Părțile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semnatare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continuare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„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Fondatori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”,</w:t>
      </w:r>
    </w:p>
    <w:p w14:paraId="0090502B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3B603B18" w14:textId="77777777" w:rsidR="00F932A4" w:rsidRPr="00366A4F" w:rsidRDefault="00F932A4" w:rsidP="00F932A4">
      <w:pPr>
        <w:pStyle w:val="12"/>
        <w:spacing w:after="160" w:line="275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Având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vedere</w:t>
      </w:r>
      <w:proofErr w:type="spellEnd"/>
    </w:p>
    <w:p w14:paraId="75C7DE67" w14:textId="77777777" w:rsidR="00F932A4" w:rsidRPr="00366A4F" w:rsidRDefault="00F932A4" w:rsidP="00F932A4">
      <w:pPr>
        <w:pStyle w:val="12"/>
        <w:spacing w:after="160" w:line="275" w:lineRule="auto"/>
        <w:ind w:left="285" w:firstLine="2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Cadrul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juridic al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:</w:t>
      </w:r>
    </w:p>
    <w:p w14:paraId="0FAC0896" w14:textId="77777777" w:rsidR="00F932A4" w:rsidRPr="00366A4F" w:rsidRDefault="00F932A4" w:rsidP="00F932A4">
      <w:pPr>
        <w:pStyle w:val="12"/>
        <w:widowControl w:val="0"/>
        <w:numPr>
          <w:ilvl w:val="1"/>
          <w:numId w:val="16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Parlamentului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European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Consiliului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5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iulie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2006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(GECT);</w:t>
      </w:r>
    </w:p>
    <w:p w14:paraId="55D21D03" w14:textId="77777777" w:rsidR="00F932A4" w:rsidRPr="00366A4F" w:rsidRDefault="00F932A4" w:rsidP="00F932A4">
      <w:pPr>
        <w:pStyle w:val="12"/>
        <w:widowControl w:val="0"/>
        <w:numPr>
          <w:ilvl w:val="1"/>
          <w:numId w:val="16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(UE) nr. 1302/2013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Parlamentului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European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Consiliului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17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decembrie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2013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special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privește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clarificarea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simplificarea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îmbunătățirea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astfel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grupări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8AFD09B" w14:textId="77777777" w:rsidR="00F932A4" w:rsidRPr="00366A4F" w:rsidRDefault="00F932A4" w:rsidP="00F932A4">
      <w:pPr>
        <w:pStyle w:val="12"/>
        <w:spacing w:after="160" w:line="275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Cadrul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juridic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național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(State Membre UE):</w:t>
      </w:r>
    </w:p>
    <w:p w14:paraId="0BE2C652" w14:textId="77777777" w:rsidR="00F932A4" w:rsidRPr="00366A4F" w:rsidRDefault="00F932A4" w:rsidP="00F932A4">
      <w:pPr>
        <w:pStyle w:val="12"/>
        <w:widowControl w:val="0"/>
        <w:numPr>
          <w:ilvl w:val="1"/>
          <w:numId w:val="17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-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Ordonanța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Urgență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Guvernului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nr. 127/2007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nr. 52/2008,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subsecventă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15DEDC95" w14:textId="77777777" w:rsidR="00F932A4" w:rsidRPr="00366A4F" w:rsidRDefault="00F932A4" w:rsidP="00F932A4">
      <w:pPr>
        <w:pStyle w:val="12"/>
        <w:widowControl w:val="0"/>
        <w:numPr>
          <w:ilvl w:val="1"/>
          <w:numId w:val="17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Bulgaria -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relevantă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entităților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structuri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1C0FABA" w14:textId="77777777" w:rsidR="00F932A4" w:rsidRPr="00366A4F" w:rsidRDefault="00F932A4" w:rsidP="00F932A4">
      <w:pPr>
        <w:pStyle w:val="12"/>
        <w:spacing w:after="160" w:line="275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Cadrul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juridic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național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Țări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Terțe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):</w:t>
      </w:r>
    </w:p>
    <w:p w14:paraId="035F66B3" w14:textId="77777777" w:rsidR="00F932A4" w:rsidRPr="00366A4F" w:rsidRDefault="00F932A4" w:rsidP="00F932A4">
      <w:pPr>
        <w:pStyle w:val="12"/>
        <w:widowControl w:val="0"/>
        <w:numPr>
          <w:ilvl w:val="1"/>
          <w:numId w:val="18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-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nr. 436-XVI din 28.12.2006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administrația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locală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Hotărârea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Guvernului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nr. 576 din 19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iulie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2017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programelor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7DF38C2F" w14:textId="77777777" w:rsidR="00F932A4" w:rsidRPr="00366A4F" w:rsidRDefault="00F932A4" w:rsidP="00F932A4">
      <w:pPr>
        <w:pStyle w:val="12"/>
        <w:widowControl w:val="0"/>
        <w:numPr>
          <w:ilvl w:val="1"/>
          <w:numId w:val="18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-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Закон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України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„</w:t>
      </w: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Про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транскордонне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співробітництво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” Nr. 1861-IV)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subsecventă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355D8E5" w14:textId="77777777" w:rsidR="00F932A4" w:rsidRDefault="00F932A4" w:rsidP="00F932A4">
      <w:pPr>
        <w:pStyle w:val="12"/>
        <w:widowControl w:val="0"/>
        <w:spacing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F6E7960" w14:textId="77777777" w:rsidR="00F932A4" w:rsidRPr="00366A4F" w:rsidRDefault="00F932A4" w:rsidP="00F932A4">
      <w:pPr>
        <w:pStyle w:val="12"/>
        <w:widowControl w:val="0"/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33037C" w14:textId="77777777" w:rsidR="00F932A4" w:rsidRPr="00366A4F" w:rsidRDefault="00F932A4" w:rsidP="00F932A4">
      <w:pPr>
        <w:pStyle w:val="12"/>
        <w:spacing w:after="160" w:line="275" w:lineRule="auto"/>
        <w:ind w:firstLine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Voința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politică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mandatul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pregătitor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:</w:t>
      </w:r>
    </w:p>
    <w:p w14:paraId="6C197AF2" w14:textId="77777777" w:rsidR="00F932A4" w:rsidRPr="00366A4F" w:rsidRDefault="00F932A4" w:rsidP="00F932A4">
      <w:pPr>
        <w:pStyle w:val="12"/>
        <w:spacing w:after="160" w:line="275" w:lineRule="auto"/>
        <w:ind w:left="8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lastRenderedPageBreak/>
        <w:t>Hotărârea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Forumului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Internațional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„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”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Ediția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II-a,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Chișinău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18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septembrie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2025),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s-a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inițierea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demersurilor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s-a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Comitetul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Inițiativă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elaboreze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fondatoare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–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88E7A05" w14:textId="77777777" w:rsidR="00F932A4" w:rsidRPr="00366A4F" w:rsidRDefault="00F932A4" w:rsidP="00F932A4">
      <w:pPr>
        <w:pStyle w:val="12"/>
        <w:spacing w:before="240" w:after="160" w:line="275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Recunoscând</w:t>
      </w:r>
      <w:proofErr w:type="spellEnd"/>
    </w:p>
    <w:p w14:paraId="7CEBDF10" w14:textId="77777777" w:rsidR="00F932A4" w:rsidRPr="007976C3" w:rsidRDefault="00F932A4" w:rsidP="00F932A4">
      <w:pPr>
        <w:pStyle w:val="12"/>
        <w:spacing w:after="160" w:line="275" w:lineRule="auto"/>
        <w:ind w:left="105" w:firstLine="6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Viziunea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gram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</w:t>
      </w:r>
      <w:proofErr w:type="gram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instituțiilor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organizațiilor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Bulgaria de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consolida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regională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durabilă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FD9736D" w14:textId="77777777" w:rsidR="00F932A4" w:rsidRPr="00366A4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Necesitatea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a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depăși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obstacolele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birocratice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impuse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frontierele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printr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-o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structură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permanentă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cu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personalitate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proprie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capabilă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acționeze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 o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singură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voce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atragă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finanțare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mod direct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eficient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42E1E4C" w14:textId="77777777" w:rsidR="00F932A4" w:rsidRPr="00366A4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Contextul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strategic regional,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inclusiv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Parteneriatul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Estic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UE,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Acordurile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Asociere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încheiate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importanța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consolidării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bazinul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Negre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Dunării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84D33A3" w14:textId="77777777" w:rsidR="00F932A4" w:rsidRPr="00366A4F" w:rsidRDefault="00F932A4" w:rsidP="00F932A4">
      <w:pPr>
        <w:pStyle w:val="12"/>
        <w:spacing w:before="240" w:after="160" w:line="275" w:lineRule="auto"/>
        <w:ind w:firstLine="105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Convinși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că</w:t>
      </w:r>
      <w:proofErr w:type="spellEnd"/>
    </w:p>
    <w:p w14:paraId="14C2A885" w14:textId="77777777" w:rsidR="00F932A4" w:rsidRPr="00366A4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(GECT),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„East GATE”,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acționa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 un instrument juridic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strategic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facilita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programelor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acțiunilor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contribuind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coeziune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economică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socială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durabilă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întregii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AC7A18E" w14:textId="77777777" w:rsidR="00F932A4" w:rsidRPr="00366A4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Adoptă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:</w:t>
      </w:r>
    </w:p>
    <w:p w14:paraId="278D70A5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1: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Denumirea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Acronimul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Personalitatea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Juridică</w:t>
      </w:r>
      <w:proofErr w:type="spellEnd"/>
    </w:p>
    <w:p w14:paraId="78273C49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Se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înființează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o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Grupare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(GECT)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(CE) nr. 1082/2006,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astfel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cum a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fost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modificat</w:t>
      </w:r>
      <w:proofErr w:type="spellEnd"/>
      <w:r w:rsidRPr="00366A4F">
        <w:rPr>
          <w:rFonts w:ascii="Times New Roman" w:eastAsia="Times New Roman" w:hAnsi="Times New Roman" w:cs="Times New Roman"/>
          <w:color w:val="EE0000"/>
          <w:sz w:val="24"/>
          <w:szCs w:val="24"/>
          <w:lang w:val="en-US"/>
        </w:rPr>
        <w:t>.</w:t>
      </w:r>
    </w:p>
    <w:p w14:paraId="1440AE44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„EAST GATE”.</w:t>
      </w:r>
    </w:p>
    <w:p w14:paraId="106A0FFE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Acronimul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EAST GATE.</w:t>
      </w:r>
    </w:p>
    <w:p w14:paraId="4FF439F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dobândește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data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înregistrării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conform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5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1082/2006.</w:t>
      </w:r>
    </w:p>
    <w:p w14:paraId="6760CFDC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2: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Sediul</w:t>
      </w:r>
      <w:proofErr w:type="spellEnd"/>
    </w:p>
    <w:p w14:paraId="081312ED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un stat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EC9C611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Adresa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exactă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proofErr w:type="gram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comuna</w:t>
      </w:r>
      <w:proofErr w:type="spellEnd"/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Scobinți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județul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Iași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DC06E50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Orice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-un alt stat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necesită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parcurgerea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A54E1BB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lastRenderedPageBreak/>
        <w:t xml:space="preserve">ARTICOLUL 3: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Componența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GECT</w:t>
      </w:r>
    </w:p>
    <w:p w14:paraId="0564A7B7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alcătuită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Fondatori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semnează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182D6B9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Lista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exhaustivă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Fondatori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incluzând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adresa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țara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proveniență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Anexa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1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face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aceasta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3743660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precum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retragere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excludere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existenți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sunt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detaliate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2.</w:t>
      </w:r>
    </w:p>
    <w:p w14:paraId="6C56B912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4: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Obiectivul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GECT</w:t>
      </w:r>
    </w:p>
    <w:p w14:paraId="5606D5B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principal al 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facilitarea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promovarea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transnaționale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interregionale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vederea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consolidării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coeziunii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economice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sociale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(2)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1082/2006.</w:t>
      </w:r>
    </w:p>
    <w:p w14:paraId="5F41E4E9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contextul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strategic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extinse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Negre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procesului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urmăreșt</w:t>
      </w:r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acționeze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 o „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Est” ("East Gate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")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sprijini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7DF79C27" w14:textId="77777777" w:rsidR="00F932A4" w:rsidRPr="00366A4F" w:rsidRDefault="00F932A4" w:rsidP="00F932A4">
      <w:pPr>
        <w:pStyle w:val="12"/>
        <w:widowControl w:val="0"/>
        <w:numPr>
          <w:ilvl w:val="1"/>
          <w:numId w:val="15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accelerată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inteligentă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durabilă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1F2E7862" w14:textId="77777777" w:rsidR="00F932A4" w:rsidRPr="00366A4F" w:rsidRDefault="00F932A4" w:rsidP="00F932A4">
      <w:pPr>
        <w:pStyle w:val="12"/>
        <w:widowControl w:val="0"/>
        <w:numPr>
          <w:ilvl w:val="1"/>
          <w:numId w:val="15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Consolidarea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conectivității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durabile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(transport,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energie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digital)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țările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partenere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54CD16F3" w14:textId="77777777" w:rsidR="00F932A4" w:rsidRPr="00366A4F" w:rsidRDefault="00F932A4" w:rsidP="00F932A4">
      <w:pPr>
        <w:pStyle w:val="12"/>
        <w:widowControl w:val="0"/>
        <w:numPr>
          <w:ilvl w:val="1"/>
          <w:numId w:val="15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Sprijinirea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proceselor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reformă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aliniere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acquis-ul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comunitar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transfer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practici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5AF64FD4" w14:textId="77777777" w:rsidR="00F932A4" w:rsidRPr="00366A4F" w:rsidRDefault="00F932A4" w:rsidP="00F932A4">
      <w:pPr>
        <w:pStyle w:val="12"/>
        <w:widowControl w:val="0"/>
        <w:numPr>
          <w:ilvl w:val="1"/>
          <w:numId w:val="15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Crearea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platforme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instituționale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permanente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planificare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termen lung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atragerea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eficientă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66152E8" w14:textId="77777777" w:rsidR="00F932A4" w:rsidRPr="00366A4F" w:rsidRDefault="00F932A4" w:rsidP="00F932A4">
      <w:pPr>
        <w:pStyle w:val="12"/>
        <w:widowControl w:val="0"/>
        <w:spacing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B64E6B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5: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Misiunile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GECT</w:t>
      </w:r>
    </w:p>
    <w:p w14:paraId="42EB4B4B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îndeplinirea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desfășura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misiuni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specifice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vizează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principal,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programelor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cofinanțate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acțiuni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fără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7B44FB7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Sarcinile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principale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concentrează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fără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limita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următoarele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domenii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3B6306A8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Modernizarea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drumurilor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construcția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poduri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crearea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rețele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transport public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promovarea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mobilității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verzi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(ex: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piste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biciclete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rețele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încărcare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vehicule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electrice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);</w:t>
      </w:r>
    </w:p>
    <w:p w14:paraId="61033970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Crearea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brand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turistic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regional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trasee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tematice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(ex: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traseul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mănăstirilor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traseul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vinului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organizarea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târguri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economice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sprijinirea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antreprenoriatului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local;</w:t>
      </w:r>
    </w:p>
    <w:p w14:paraId="53BF78CB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Managementul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resurselor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special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bazinul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hidrografic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râului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Prut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zona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Dunării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adaptare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schimbările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climatice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împăduriri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parcuri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industriale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verzi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promovarea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economiei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circulare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7389EE4B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lastRenderedPageBreak/>
        <w:t xml:space="preserve">(d)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Crearea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servicii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medicale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specializate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accesibile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cetățenilor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pe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ambele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părți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granițelor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programe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schimb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experiență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școli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universități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platforme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educaționale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online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0D879854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(e)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servicii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digitale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platforme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e-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guvernare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transfrontaliere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precum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schimbul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practici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administrative.</w:t>
      </w:r>
    </w:p>
    <w:p w14:paraId="25EB835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acționa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 o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singură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voce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putând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gestiona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direct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beneficiar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unic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lider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parteneriat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71A7C9E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6: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Durata</w:t>
      </w:r>
      <w:proofErr w:type="spellEnd"/>
    </w:p>
    <w:p w14:paraId="2E2B9556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durată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nedeterminată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90CD936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dizolvare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lichidare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detaliate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12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14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1082/2006.</w:t>
      </w:r>
    </w:p>
    <w:p w14:paraId="5CF5C5B5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7: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Dreptul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aplicabil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competența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jurisdicțională</w:t>
      </w:r>
      <w:proofErr w:type="spellEnd"/>
    </w:p>
    <w:p w14:paraId="5BAE897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reglementată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de:</w:t>
      </w:r>
    </w:p>
    <w:p w14:paraId="51DC9CD4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astfel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cum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fost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(UE) nr. 1302/2013, ca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direct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aplicabil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177961DC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special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Ordonanța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Urgență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Guvernului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nr. 127/2007,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proofErr w:type="gram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completările</w:t>
      </w:r>
      <w:proofErr w:type="spellEnd"/>
      <w:proofErr w:type="gram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ulterioare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aspectele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nu sunt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reglementate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delegate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UE (de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exemplu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normele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contabile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muncii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);</w:t>
      </w:r>
    </w:p>
    <w:p w14:paraId="26ABFD87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Dispozițiile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F29FE42" w14:textId="77777777" w:rsidR="00F932A4" w:rsidRPr="00366A4F" w:rsidRDefault="00F932A4" w:rsidP="00F932A4">
      <w:pPr>
        <w:pStyle w:val="12"/>
        <w:spacing w:after="160" w:line="275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Interpretarea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realizează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90BF820" w14:textId="77777777" w:rsidR="00F932A4" w:rsidRPr="00366A4F" w:rsidRDefault="00F932A4" w:rsidP="00F932A4">
      <w:pPr>
        <w:pStyle w:val="12"/>
        <w:spacing w:after="160" w:line="275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Orice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litigiu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legătură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GECT,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soluționat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amiabilă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caz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eșec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litigiile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soluționate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instanțele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judecătorești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excepția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cazului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competența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altfel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aplicabilă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normele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specifice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finanțărilor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UE.</w:t>
      </w:r>
    </w:p>
    <w:p w14:paraId="5B3ACEC5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8: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GECT</w:t>
      </w:r>
    </w:p>
    <w:p w14:paraId="7A1B522D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Modalitățile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detaliate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organizare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EAST GATE sunt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52C76CC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stabilește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elementele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obligatorii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9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incluzând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conducere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lucru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normele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contabile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5D619B3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toți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Fondatori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Anexa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2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făcând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aceasta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1A4943C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9: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Procedura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aprobare</w:t>
      </w:r>
      <w:proofErr w:type="spellEnd"/>
    </w:p>
    <w:p w14:paraId="31D7A215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vederea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potențial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transmite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sale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intenția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a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însoțită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proiectul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anexat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871C2C4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lastRenderedPageBreak/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Membre ale UE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Bulgaria):</w:t>
      </w:r>
    </w:p>
    <w:p w14:paraId="7F49A973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potențiali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intenția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transmit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constitutive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-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Ministerul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Lucrărilor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Administrației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(MDLPA);</w:t>
      </w:r>
    </w:p>
    <w:p w14:paraId="47F68F39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potențiali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Bulgaria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intenția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transmit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constitutive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Guvernul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Bulgariei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obținând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conform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bulgare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8E14DA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Țări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Terțe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):</w:t>
      </w:r>
    </w:p>
    <w:p w14:paraId="566CF89A" w14:textId="77777777" w:rsidR="00F932A4" w:rsidRPr="007976C3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4(3a)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1082/2006,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potențial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trebuie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obțină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prealabilă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participare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la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2D8A0C3B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Cancelaria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Stat (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);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Ministerul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Dezvoltării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Comunităților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Teritoriilor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Infrastructurii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altă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</w:t>
      </w:r>
      <w:proofErr w:type="spellEnd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7976C3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);</w:t>
      </w:r>
    </w:p>
    <w:p w14:paraId="2403F692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Această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prealabilă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acordă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baza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relevante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(ex: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1861-IV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HG 576/2017 a R. Moldova)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confirmă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interesul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public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terțe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47170F4A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):</w:t>
      </w:r>
    </w:p>
    <w:p w14:paraId="5AB251F6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(MDLPA),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primește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intenției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însoțită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atestă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obținute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Bulgaria,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05FF4088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4</w:t>
      </w:r>
      <w:proofErr w:type="gram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a(</w:t>
      </w:r>
      <w:proofErr w:type="gram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2)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1082/2006, MDLPA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consultă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Bulgaria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2C5B660B" w14:textId="77777777" w:rsidR="00F932A4" w:rsidRPr="00366A4F" w:rsidRDefault="00F932A4" w:rsidP="00F932A4">
      <w:pPr>
        <w:pStyle w:val="12"/>
        <w:spacing w:after="160" w:line="275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După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finalizarea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consultării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analizarea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tuturor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autoritatea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(MDLPA)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emite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autorizare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EAST GATE</w:t>
      </w:r>
    </w:p>
    <w:p w14:paraId="49667628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10: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Intrarea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vigoare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publicitatea</w:t>
      </w:r>
      <w:proofErr w:type="spellEnd"/>
    </w:p>
    <w:p w14:paraId="7ACFC547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vigoare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data la care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dobândește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respectiv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data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înregistrării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autorizare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Monitorul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FD03273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reprezentant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asigura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termen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zece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lucrătoare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intrarea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vigoare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transmiterea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cereri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înregistrare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Comitetul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conform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modelului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1082/2006.</w:t>
      </w:r>
    </w:p>
    <w:p w14:paraId="412C30C8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informa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asemenea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Publicații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vederea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aviz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Jurnalul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seria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C,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anunțe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constituirea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57583BAD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lastRenderedPageBreak/>
        <w:t xml:space="preserve">ARTICOLUL 11: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Modificarea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Convenției</w:t>
      </w:r>
      <w:proofErr w:type="spellEnd"/>
    </w:p>
    <w:p w14:paraId="6EF63F93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Orice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prezentei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GECT,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condițiile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cvorum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7F1E189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Modificările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vigoare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numai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după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parcurgerea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integrală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9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r w:rsidRPr="00366A4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>mutatis mutandis</w:t>
      </w: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inclusiv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re-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țărilor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terțe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dacă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afectează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elemente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esențiale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participării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acestora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5663DC8" w14:textId="77777777" w:rsidR="00F932A4" w:rsidRPr="00366A4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ARTICOLUL 12: </w:t>
      </w:r>
      <w:proofErr w:type="spellStart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Dispoziții</w:t>
      </w:r>
      <w:proofErr w:type="spellEnd"/>
      <w:r w:rsidRPr="00366A4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 xml:space="preserve"> finale</w:t>
      </w:r>
    </w:p>
    <w:p w14:paraId="0E5CE29F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redactată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-un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singur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exemplar original,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care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depozitat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EAST GATE.</w:t>
      </w:r>
    </w:p>
    <w:p w14:paraId="1C6EB3BF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Se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vor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produce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copii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originalul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limbile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bulgară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ucraineană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engleză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caz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divergență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interpretare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textul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prevalează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DF272E3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Anexele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 (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EAST GATE) fac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integrantă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366A4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92E59C3" w14:textId="77777777" w:rsidR="00F932A4" w:rsidRPr="00366A4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Încheiată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la [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Locul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], la data de,</w:t>
      </w:r>
    </w:p>
    <w:p w14:paraId="42366BE0" w14:textId="77777777" w:rsidR="00F932A4" w:rsidRPr="00366A4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</w:pP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Semnează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reprezentanții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legali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ai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tuturor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Membrilor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Fondatori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(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prevăzuți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în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</w:t>
      </w:r>
      <w:proofErr w:type="spellStart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>Anexa</w:t>
      </w:r>
      <w:proofErr w:type="spellEnd"/>
      <w:r w:rsidRPr="00366A4F">
        <w:rPr>
          <w:rFonts w:ascii="Times New Roman" w:eastAsia="Times New Roman" w:hAnsi="Times New Roman" w:cs="Times New Roman"/>
          <w:b/>
          <w:bCs/>
          <w:i/>
          <w:iCs/>
          <w:color w:val="1B1C1D"/>
          <w:sz w:val="24"/>
          <w:szCs w:val="24"/>
          <w:lang w:val="en-US"/>
        </w:rPr>
        <w:t xml:space="preserve"> 1)...</w:t>
      </w:r>
    </w:p>
    <w:p w14:paraId="3CD548A4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5D50945E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758BD5A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265126B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A805BEE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495370C2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1199E44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ED95DBC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3EDD6A1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64FB687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B1A434A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9945D99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BD7B030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C8F1A13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38E80F76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39A6036D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30DE331B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575B69B9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8F3D305" w14:textId="77777777" w:rsidR="00F932A4" w:rsidRDefault="00F932A4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CF34779" w14:textId="77777777" w:rsidR="00F932A4" w:rsidRPr="00EF6D72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i/>
          <w:color w:val="000000"/>
          <w:lang w:val="en-US"/>
        </w:rPr>
      </w:pPr>
      <w:proofErr w:type="spellStart"/>
      <w:r w:rsidRPr="00EF6D72">
        <w:rPr>
          <w:bCs/>
          <w:i/>
          <w:color w:val="000000"/>
          <w:lang w:val="en-US"/>
        </w:rPr>
        <w:t>Anexa</w:t>
      </w:r>
      <w:proofErr w:type="spellEnd"/>
      <w:r w:rsidRPr="00EF6D72">
        <w:rPr>
          <w:bCs/>
          <w:i/>
          <w:color w:val="000000"/>
          <w:lang w:val="en-US"/>
        </w:rPr>
        <w:t xml:space="preserve"> </w:t>
      </w:r>
      <w:r>
        <w:rPr>
          <w:bCs/>
          <w:i/>
          <w:color w:val="000000"/>
          <w:lang w:val="en-US"/>
        </w:rPr>
        <w:t>2</w:t>
      </w:r>
    </w:p>
    <w:p w14:paraId="4C09D2EF" w14:textId="77777777" w:rsidR="00F932A4" w:rsidRPr="00EF6D72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color w:val="000000"/>
          <w:lang w:val="en-US"/>
        </w:rPr>
      </w:pPr>
      <w:r w:rsidRPr="00EF6D72">
        <w:rPr>
          <w:bCs/>
          <w:color w:val="000000"/>
          <w:lang w:val="en-US"/>
        </w:rPr>
        <w:t xml:space="preserve">La </w:t>
      </w:r>
      <w:proofErr w:type="spellStart"/>
      <w:r w:rsidRPr="00EF6D72">
        <w:rPr>
          <w:bCs/>
          <w:color w:val="000000"/>
          <w:lang w:val="en-US"/>
        </w:rPr>
        <w:t>Decizia</w:t>
      </w:r>
      <w:proofErr w:type="spellEnd"/>
      <w:r w:rsidRPr="00EF6D72"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Consiliului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raional</w:t>
      </w:r>
      <w:proofErr w:type="spellEnd"/>
      <w:r>
        <w:rPr>
          <w:bCs/>
          <w:color w:val="000000"/>
          <w:lang w:val="en-US"/>
        </w:rPr>
        <w:t xml:space="preserve"> </w:t>
      </w:r>
      <w:proofErr w:type="spellStart"/>
      <w:r>
        <w:rPr>
          <w:bCs/>
          <w:color w:val="000000"/>
          <w:lang w:val="en-US"/>
        </w:rPr>
        <w:t>Rîșcani</w:t>
      </w:r>
      <w:proofErr w:type="spellEnd"/>
    </w:p>
    <w:p w14:paraId="2FEDFCE8" w14:textId="77777777" w:rsidR="00F932A4" w:rsidRPr="00D350B4" w:rsidRDefault="00F932A4" w:rsidP="00F932A4">
      <w:pPr>
        <w:pStyle w:val="af7"/>
        <w:shd w:val="clear" w:color="auto" w:fill="FFFFFF"/>
        <w:spacing w:before="0" w:beforeAutospacing="0" w:after="0" w:afterAutospacing="0" w:line="240" w:lineRule="atLeast"/>
        <w:jc w:val="right"/>
        <w:rPr>
          <w:bCs/>
          <w:color w:val="000000"/>
          <w:sz w:val="28"/>
          <w:szCs w:val="28"/>
          <w:lang w:val="en-US"/>
        </w:rPr>
      </w:pPr>
      <w:r w:rsidRPr="00EF6D72">
        <w:rPr>
          <w:bCs/>
          <w:color w:val="000000"/>
          <w:lang w:val="en-US"/>
        </w:rPr>
        <w:t xml:space="preserve">           Nr.</w:t>
      </w:r>
      <w:r>
        <w:rPr>
          <w:bCs/>
          <w:color w:val="000000"/>
          <w:lang w:val="en-US"/>
        </w:rPr>
        <w:t>____</w:t>
      </w:r>
      <w:r w:rsidRPr="00EF6D72">
        <w:rPr>
          <w:bCs/>
          <w:color w:val="000000"/>
          <w:lang w:val="en-US"/>
        </w:rPr>
        <w:t xml:space="preserve"> din </w:t>
      </w:r>
      <w:r>
        <w:rPr>
          <w:bCs/>
          <w:color w:val="000000"/>
          <w:lang w:val="en-US"/>
        </w:rPr>
        <w:t>_________________2026</w:t>
      </w:r>
    </w:p>
    <w:p w14:paraId="580C2134" w14:textId="77777777" w:rsidR="00F932A4" w:rsidRPr="009A047F" w:rsidRDefault="00F932A4" w:rsidP="00F932A4">
      <w:pPr>
        <w:pStyle w:val="12"/>
        <w:spacing w:after="160" w:line="27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14:paraId="6462A852" w14:textId="77777777" w:rsidR="00F932A4" w:rsidRPr="009A047F" w:rsidRDefault="00F932A4" w:rsidP="00F932A4">
      <w:pPr>
        <w:pStyle w:val="12"/>
        <w:spacing w:after="160" w:line="275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proiect</w:t>
      </w:r>
      <w:proofErr w:type="spellEnd"/>
    </w:p>
    <w:p w14:paraId="37E0493A" w14:textId="77777777" w:rsidR="00F932A4" w:rsidRPr="009A047F" w:rsidRDefault="00F932A4" w:rsidP="00F932A4">
      <w:pPr>
        <w:pStyle w:val="1"/>
        <w:spacing w:before="0" w:after="0" w:line="275" w:lineRule="auto"/>
        <w:jc w:val="center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</w:p>
    <w:p w14:paraId="3265FE14" w14:textId="77777777" w:rsidR="00F932A4" w:rsidRPr="009A047F" w:rsidRDefault="00F932A4" w:rsidP="00F932A4">
      <w:pPr>
        <w:pStyle w:val="2"/>
        <w:spacing w:before="0" w:after="0" w:line="275" w:lineRule="auto"/>
        <w:jc w:val="right"/>
        <w:rPr>
          <w:rFonts w:ascii="Times New Roman" w:eastAsia="Times New Roman" w:hAnsi="Times New Roman"/>
          <w:b w:val="0"/>
          <w:bCs w:val="0"/>
          <w:i w:val="0"/>
          <w:iCs w:val="0"/>
          <w:color w:val="1B1C1D"/>
          <w:sz w:val="24"/>
          <w:szCs w:val="24"/>
          <w:lang w:val="en-US"/>
        </w:rPr>
      </w:pPr>
      <w:bookmarkStart w:id="0" w:name="_2hgzd9ikaaf8" w:colFirst="0" w:colLast="0"/>
      <w:bookmarkEnd w:id="0"/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ANEXA 1 LA CONVENȚIE</w:t>
      </w:r>
    </w:p>
    <w:p w14:paraId="0DD10E19" w14:textId="77777777" w:rsidR="00F932A4" w:rsidRPr="009A047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</w:p>
    <w:p w14:paraId="28169DD7" w14:textId="77777777" w:rsidR="00F932A4" w:rsidRPr="009A047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</w:p>
    <w:p w14:paraId="06B202E5" w14:textId="77777777" w:rsidR="00F932A4" w:rsidRPr="009A047F" w:rsidRDefault="00F932A4" w:rsidP="00F932A4">
      <w:pPr>
        <w:pStyle w:val="2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STATUTUL GRUPĂRII EUROPENE DE COOPERARE TERITORIALĂ „EAST GATE”</w:t>
      </w:r>
    </w:p>
    <w:p w14:paraId="7625D119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23D397FB" w14:textId="77777777" w:rsidR="00F932A4" w:rsidRPr="009A047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I: DISPOZIȚII GENERALE</w:t>
      </w:r>
    </w:p>
    <w:p w14:paraId="077A413E" w14:textId="77777777" w:rsidR="00F932A4" w:rsidRPr="009A047F" w:rsidRDefault="00F932A4" w:rsidP="00F932A4">
      <w:pPr>
        <w:pStyle w:val="12"/>
        <w:spacing w:after="160" w:line="278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259ED1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1: Natura </w:t>
      </w:r>
      <w:proofErr w:type="spellStart"/>
      <w:r w:rsidRPr="009A047F">
        <w:rPr>
          <w:i/>
          <w:iCs/>
          <w:color w:val="1B1C1D"/>
          <w:lang w:val="en-US"/>
        </w:rPr>
        <w:t>juridică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și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dreptul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aplicabil</w:t>
      </w:r>
      <w:proofErr w:type="spellEnd"/>
    </w:p>
    <w:p w14:paraId="564ABA13" w14:textId="77777777" w:rsidR="00F932A4" w:rsidRPr="009A047F" w:rsidRDefault="00F932A4" w:rsidP="00F932A4">
      <w:pPr>
        <w:pStyle w:val="12"/>
        <w:widowControl w:val="0"/>
        <w:numPr>
          <w:ilvl w:val="0"/>
          <w:numId w:val="30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stabilește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modalitățile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internă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EAST GATE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continuare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"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"),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9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8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BD15860" w14:textId="77777777" w:rsidR="00F932A4" w:rsidRPr="009A047F" w:rsidRDefault="00F932A4" w:rsidP="00F932A4">
      <w:pPr>
        <w:pStyle w:val="12"/>
        <w:widowControl w:val="0"/>
        <w:numPr>
          <w:ilvl w:val="0"/>
          <w:numId w:val="30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Prevederile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subordonează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prevederilor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aplicabile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definite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7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9381CCF" w14:textId="77777777" w:rsidR="00F932A4" w:rsidRPr="009A047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8B62B67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2: Limbi de lucru</w:t>
      </w:r>
    </w:p>
    <w:p w14:paraId="7FAC1882" w14:textId="77777777" w:rsidR="00F932A4" w:rsidRPr="009A047F" w:rsidRDefault="00F932A4" w:rsidP="00F932A4">
      <w:pPr>
        <w:pStyle w:val="12"/>
        <w:widowControl w:val="0"/>
        <w:numPr>
          <w:ilvl w:val="0"/>
          <w:numId w:val="27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Limba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GECT,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utilizată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toate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juridice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oficiale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contabilitate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relația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instituțiile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UE,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limba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română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8352A71" w14:textId="77777777" w:rsidR="00F932A4" w:rsidRPr="009A047F" w:rsidRDefault="00F932A4" w:rsidP="00F932A4">
      <w:pPr>
        <w:pStyle w:val="12"/>
        <w:widowControl w:val="0"/>
        <w:numPr>
          <w:ilvl w:val="0"/>
          <w:numId w:val="27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lucru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utilizate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ședințele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conducere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comunicările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interne, sunt: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româna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bulgara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ucraineana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engleza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utilizată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comunicare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inter-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regională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).</w:t>
      </w:r>
    </w:p>
    <w:p w14:paraId="7AA9E439" w14:textId="77777777" w:rsidR="00F932A4" w:rsidRPr="009A047F" w:rsidRDefault="00F932A4" w:rsidP="00F932A4">
      <w:pPr>
        <w:pStyle w:val="12"/>
        <w:widowControl w:val="0"/>
        <w:numPr>
          <w:ilvl w:val="0"/>
          <w:numId w:val="27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asigură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limita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servicii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interpretare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traducere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esențiale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ședințele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2A5613B" w14:textId="77777777" w:rsidR="00F932A4" w:rsidRPr="009A047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D8FFE74" w14:textId="77777777" w:rsidR="00F932A4" w:rsidRPr="009A047F" w:rsidRDefault="00F932A4" w:rsidP="00F932A4">
      <w:pPr>
        <w:pStyle w:val="3"/>
        <w:spacing w:before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II: MEMBRII GECT</w:t>
      </w:r>
    </w:p>
    <w:p w14:paraId="1821A92B" w14:textId="77777777" w:rsidR="00F932A4" w:rsidRPr="009A047F" w:rsidRDefault="00F932A4" w:rsidP="00F932A4">
      <w:pPr>
        <w:pStyle w:val="12"/>
        <w:spacing w:after="80" w:line="278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63A85E" w14:textId="77777777" w:rsidR="00F932A4" w:rsidRPr="009A047F" w:rsidRDefault="00F932A4" w:rsidP="00F932A4">
      <w:pPr>
        <w:pStyle w:val="4"/>
        <w:spacing w:before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3: </w:t>
      </w:r>
      <w:proofErr w:type="spellStart"/>
      <w:r w:rsidRPr="009A047F">
        <w:rPr>
          <w:i/>
          <w:iCs/>
          <w:color w:val="1B1C1D"/>
          <w:lang w:val="en-US"/>
        </w:rPr>
        <w:t>Aderarea</w:t>
      </w:r>
      <w:proofErr w:type="spellEnd"/>
      <w:r w:rsidRPr="009A047F">
        <w:rPr>
          <w:i/>
          <w:iCs/>
          <w:color w:val="1B1C1D"/>
          <w:lang w:val="en-US"/>
        </w:rPr>
        <w:t xml:space="preserve"> de </w:t>
      </w:r>
      <w:proofErr w:type="spellStart"/>
      <w:r w:rsidRPr="009A047F">
        <w:rPr>
          <w:i/>
          <w:iCs/>
          <w:color w:val="1B1C1D"/>
          <w:lang w:val="en-US"/>
        </w:rPr>
        <w:t>noi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membri</w:t>
      </w:r>
      <w:proofErr w:type="spellEnd"/>
    </w:p>
    <w:p w14:paraId="303EFE82" w14:textId="77777777" w:rsidR="00F932A4" w:rsidRPr="009A047F" w:rsidRDefault="00F932A4" w:rsidP="00F932A4">
      <w:pPr>
        <w:pStyle w:val="12"/>
        <w:widowControl w:val="0"/>
        <w:numPr>
          <w:ilvl w:val="0"/>
          <w:numId w:val="26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deschisă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aderării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categoriile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definite la Art. 3(1)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1082/2006,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Bulgaria)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țărilor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terțe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Republica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Moldova,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Ucraina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care fac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aria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cooperare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7BB68B54" w14:textId="77777777" w:rsidR="00F932A4" w:rsidRPr="0094442D" w:rsidRDefault="00F932A4" w:rsidP="00F932A4">
      <w:pPr>
        <w:pStyle w:val="12"/>
        <w:widowControl w:val="0"/>
        <w:numPr>
          <w:ilvl w:val="0"/>
          <w:numId w:val="26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Cererea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aderare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adresează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supusă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aprobării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250C0802" w14:textId="77777777" w:rsidR="00F932A4" w:rsidRPr="009A047F" w:rsidRDefault="00F932A4" w:rsidP="00F932A4">
      <w:pPr>
        <w:pStyle w:val="12"/>
        <w:widowControl w:val="0"/>
        <w:numPr>
          <w:ilvl w:val="0"/>
          <w:numId w:val="26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Aderarea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devine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efectivă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numai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după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parcurgerea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integrală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9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r w:rsidRPr="009A047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>mutatis mutandis</w:t>
      </w: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99BFD2E" w14:textId="77777777" w:rsidR="00F932A4" w:rsidRPr="009A047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504CC05A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lastRenderedPageBreak/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4: </w:t>
      </w:r>
      <w:proofErr w:type="spellStart"/>
      <w:r w:rsidRPr="009A047F">
        <w:rPr>
          <w:i/>
          <w:iCs/>
          <w:color w:val="1B1C1D"/>
          <w:lang w:val="en-US"/>
        </w:rPr>
        <w:t>Drepturile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membrilor</w:t>
      </w:r>
      <w:proofErr w:type="spellEnd"/>
    </w:p>
    <w:p w14:paraId="2B7C1317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51F51D6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43755C78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aleși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conducere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08694AF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activitățile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inițiate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GECT;</w:t>
      </w:r>
    </w:p>
    <w:p w14:paraId="4A6D209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beneficieze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serviciile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expertiza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dezvoltate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GECT.</w:t>
      </w:r>
    </w:p>
    <w:p w14:paraId="57876824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5: </w:t>
      </w:r>
      <w:proofErr w:type="spellStart"/>
      <w:r w:rsidRPr="009A047F">
        <w:rPr>
          <w:i/>
          <w:iCs/>
          <w:color w:val="1B1C1D"/>
          <w:lang w:val="en-US"/>
        </w:rPr>
        <w:t>Obligațiile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membrilor</w:t>
      </w:r>
      <w:proofErr w:type="spellEnd"/>
    </w:p>
    <w:p w14:paraId="00B30486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obligația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6EC13B2E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respecte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prevederile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ale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obligatorii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GECT;</w:t>
      </w:r>
    </w:p>
    <w:p w14:paraId="06083DE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achite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termen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conform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II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053AFB5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promoveze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întreprindă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acțiuni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contravin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intereselor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acesteia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42C821B3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faciliteze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teritoriul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lor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12C1B09D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6: Retragerea și excluderea</w:t>
      </w:r>
    </w:p>
    <w:p w14:paraId="2BA12FAF" w14:textId="77777777" w:rsidR="00F932A4" w:rsidRPr="009A047F" w:rsidRDefault="00F932A4" w:rsidP="00F932A4">
      <w:pPr>
        <w:pStyle w:val="12"/>
        <w:widowControl w:val="0"/>
        <w:numPr>
          <w:ilvl w:val="0"/>
          <w:numId w:val="2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Orice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retrage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printr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-o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scrisă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adresată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cu un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preaviz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minim 6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șase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luni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Retragerea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exonerează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obligațiile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scadente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până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data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retragerii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efective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61AF0C56" w14:textId="77777777" w:rsidR="00F932A4" w:rsidRPr="009A047F" w:rsidRDefault="00F932A4" w:rsidP="00F932A4">
      <w:pPr>
        <w:pStyle w:val="12"/>
        <w:widowControl w:val="0"/>
        <w:numPr>
          <w:ilvl w:val="0"/>
          <w:numId w:val="2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Un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exclus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hotărârea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calificată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Art. 11(b),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încălcări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grave (ex: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neplata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perioadă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mare de 2 ani,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acțiuni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dovedite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GECT).</w:t>
      </w:r>
    </w:p>
    <w:p w14:paraId="13792F30" w14:textId="77777777" w:rsidR="00F932A4" w:rsidRPr="009A047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140627" w14:textId="77777777" w:rsidR="00F932A4" w:rsidRPr="009A047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III: ORGANIZAREA GECT (ORGANELE DE CONDUCERE)</w:t>
      </w:r>
    </w:p>
    <w:p w14:paraId="3A3CC51C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7: </w:t>
      </w:r>
      <w:proofErr w:type="spellStart"/>
      <w:r w:rsidRPr="009A047F">
        <w:rPr>
          <w:i/>
          <w:iCs/>
          <w:color w:val="1B1C1D"/>
          <w:lang w:val="en-US"/>
        </w:rPr>
        <w:t>Organele</w:t>
      </w:r>
      <w:proofErr w:type="spellEnd"/>
      <w:r w:rsidRPr="009A047F">
        <w:rPr>
          <w:i/>
          <w:iCs/>
          <w:color w:val="1B1C1D"/>
          <w:lang w:val="en-US"/>
        </w:rPr>
        <w:t xml:space="preserve"> GECT</w:t>
      </w:r>
    </w:p>
    <w:p w14:paraId="48628CD4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conducere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EAST GATE sunt:</w:t>
      </w:r>
    </w:p>
    <w:p w14:paraId="07C169B3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decizional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suprem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</w:t>
      </w:r>
    </w:p>
    <w:p w14:paraId="2200B2D9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colegial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deliberativ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</w:t>
      </w:r>
    </w:p>
    <w:p w14:paraId="0FD9F8DD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reprezentantul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legal)</w:t>
      </w:r>
    </w:p>
    <w:p w14:paraId="382CFB7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</w:t>
      </w:r>
      <w:proofErr w:type="spellEnd"/>
    </w:p>
    <w:p w14:paraId="30B710FE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(e)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Regional</w:t>
      </w:r>
    </w:p>
    <w:p w14:paraId="7A13AC2C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(f)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Local</w:t>
      </w:r>
    </w:p>
    <w:p w14:paraId="5FC11443" w14:textId="77777777" w:rsidR="00F932A4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D3326FC" w14:textId="77777777" w:rsidR="00F932A4" w:rsidRPr="009A047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7E6B4073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r w:rsidRPr="009A047F">
        <w:rPr>
          <w:i/>
          <w:iCs/>
          <w:color w:val="1B1C1D"/>
          <w:lang w:val="en-US"/>
        </w:rPr>
        <w:lastRenderedPageBreak/>
        <w:t>SECȚIUNEA 1: ADUNAREA GENERALĂ</w:t>
      </w:r>
    </w:p>
    <w:p w14:paraId="739470BD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20B5F155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8: Componența Adunării Generale</w:t>
      </w:r>
    </w:p>
    <w:p w14:paraId="7EF8084A" w14:textId="77777777" w:rsidR="00F932A4" w:rsidRPr="009A047F" w:rsidRDefault="00F932A4" w:rsidP="00F932A4">
      <w:pPr>
        <w:pStyle w:val="12"/>
        <w:widowControl w:val="0"/>
        <w:numPr>
          <w:ilvl w:val="0"/>
          <w:numId w:val="2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denumită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continuare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"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")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formată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reprezentanții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ai </w:t>
      </w:r>
      <w:proofErr w:type="spellStart"/>
      <w:r w:rsidRPr="009A047F">
        <w:rPr>
          <w:rFonts w:ascii="Times New Roman" w:eastAsia="Times New Roman" w:hAnsi="Times New Roman" w:cs="Times New Roman"/>
          <w:i/>
          <w:iCs/>
          <w:color w:val="1B1C1D"/>
          <w:sz w:val="24"/>
          <w:szCs w:val="24"/>
          <w:lang w:val="en-US"/>
        </w:rPr>
        <w:t>tuturor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GECT;</w:t>
      </w:r>
    </w:p>
    <w:p w14:paraId="0C630ADA" w14:textId="77777777" w:rsidR="00F932A4" w:rsidRPr="009A047F" w:rsidRDefault="00F932A4" w:rsidP="00F932A4">
      <w:pPr>
        <w:pStyle w:val="12"/>
        <w:widowControl w:val="0"/>
        <w:numPr>
          <w:ilvl w:val="0"/>
          <w:numId w:val="2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deține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singur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4EA40C5C" w14:textId="77777777" w:rsidR="00F932A4" w:rsidRPr="009A047F" w:rsidRDefault="00F932A4" w:rsidP="00F932A4">
      <w:pPr>
        <w:pStyle w:val="12"/>
        <w:widowControl w:val="0"/>
        <w:numPr>
          <w:ilvl w:val="0"/>
          <w:numId w:val="2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face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nivelul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conducătorului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legal al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entității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delegat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special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scris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67B03FC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9: </w:t>
      </w:r>
      <w:proofErr w:type="spellStart"/>
      <w:r w:rsidRPr="009A047F">
        <w:rPr>
          <w:i/>
          <w:iCs/>
          <w:color w:val="1B1C1D"/>
          <w:lang w:val="en-US"/>
        </w:rPr>
        <w:t>Atribuțiile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Adunării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Generale</w:t>
      </w:r>
      <w:proofErr w:type="spellEnd"/>
    </w:p>
    <w:p w14:paraId="385496DD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suprem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are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următoarele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atribuții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principale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202C7E98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GECT;</w:t>
      </w:r>
    </w:p>
    <w:p w14:paraId="66014CAE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termen lung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activități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5AE7A9A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bugetară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bilanțul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contabil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0463F12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Stabilește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cuantumul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metodologia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detaliate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II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926AF86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(e)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Alege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revocă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C28590F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(f)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Numește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revocă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2ED62D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(g)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aderarea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excluderea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existenți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7F51258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(h)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auditorul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extern independent,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FCD7DB4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Decide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dizolvarea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lichidarea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695C4405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10: Convocarea și cvorumul Adunării</w:t>
      </w:r>
    </w:p>
    <w:p w14:paraId="13AA67A9" w14:textId="77777777" w:rsidR="00F932A4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0B576AD5" w14:textId="77777777" w:rsidR="00F932A4" w:rsidRPr="009A047F" w:rsidRDefault="00F932A4" w:rsidP="00F932A4">
      <w:pPr>
        <w:pStyle w:val="12"/>
        <w:widowControl w:val="0"/>
        <w:numPr>
          <w:ilvl w:val="0"/>
          <w:numId w:val="3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convoacă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sesiune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ordinară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an,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Președintele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Director.</w:t>
      </w:r>
    </w:p>
    <w:p w14:paraId="33AA15D7" w14:textId="77777777" w:rsidR="00F932A4" w:rsidRPr="009A047F" w:rsidRDefault="00F932A4" w:rsidP="00F932A4">
      <w:pPr>
        <w:pStyle w:val="12"/>
        <w:widowControl w:val="0"/>
        <w:numPr>
          <w:ilvl w:val="0"/>
          <w:numId w:val="3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Sesiuni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extraordinare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pot fi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convocate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cererea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treime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(1/3)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1F14B63E" w14:textId="77777777" w:rsidR="00F932A4" w:rsidRPr="009A047F" w:rsidRDefault="00F932A4" w:rsidP="00F932A4">
      <w:pPr>
        <w:pStyle w:val="12"/>
        <w:widowControl w:val="0"/>
        <w:numPr>
          <w:ilvl w:val="0"/>
          <w:numId w:val="3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Convocarea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face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scris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inclusiv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mijloace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electronice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30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înainte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include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ordinea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8A039E4" w14:textId="77777777" w:rsidR="00F932A4" w:rsidRPr="009A047F" w:rsidRDefault="00F932A4" w:rsidP="00F932A4">
      <w:pPr>
        <w:pStyle w:val="12"/>
        <w:widowControl w:val="0"/>
        <w:numPr>
          <w:ilvl w:val="0"/>
          <w:numId w:val="31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statutar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întrunită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cvorum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jumătate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plus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(50% + 1)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Ședințele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pot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desfășura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format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hibrid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online.</w:t>
      </w:r>
    </w:p>
    <w:p w14:paraId="35D9EA12" w14:textId="77777777" w:rsidR="00F932A4" w:rsidRPr="009A047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3F59354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11: Procedura decizională (Vot)</w:t>
      </w:r>
    </w:p>
    <w:p w14:paraId="7F21A85F" w14:textId="77777777" w:rsidR="00F932A4" w:rsidRPr="009A047F" w:rsidRDefault="00F932A4" w:rsidP="00F932A4">
      <w:pPr>
        <w:pStyle w:val="12"/>
        <w:widowControl w:val="0"/>
        <w:numPr>
          <w:ilvl w:val="0"/>
          <w:numId w:val="29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Hotărârile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privind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bugetară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activități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rapoartele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etc., 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simplă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(50% + 1)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494540D1" w14:textId="77777777" w:rsidR="00F932A4" w:rsidRDefault="00F932A4" w:rsidP="00F932A4">
      <w:pPr>
        <w:pStyle w:val="12"/>
        <w:widowControl w:val="0"/>
        <w:numPr>
          <w:ilvl w:val="0"/>
          <w:numId w:val="29"/>
        </w:numPr>
        <w:spacing w:line="275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Hotărârile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:</w:t>
      </w:r>
    </w:p>
    <w:p w14:paraId="00D478F5" w14:textId="77777777" w:rsidR="00F932A4" w:rsidRPr="009A047F" w:rsidRDefault="00F932A4" w:rsidP="00F932A4">
      <w:pPr>
        <w:pStyle w:val="12"/>
        <w:widowControl w:val="0"/>
        <w:numPr>
          <w:ilvl w:val="0"/>
          <w:numId w:val="34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lastRenderedPageBreak/>
        <w:t>Aprobarea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7230F91C" w14:textId="77777777" w:rsidR="00F932A4" w:rsidRPr="009A047F" w:rsidRDefault="00F932A4" w:rsidP="00F932A4">
      <w:pPr>
        <w:pStyle w:val="12"/>
        <w:widowControl w:val="0"/>
        <w:numPr>
          <w:ilvl w:val="0"/>
          <w:numId w:val="34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5BD1AA85" w14:textId="77777777" w:rsidR="00F932A4" w:rsidRPr="009A047F" w:rsidRDefault="00F932A4" w:rsidP="00F932A4">
      <w:pPr>
        <w:pStyle w:val="12"/>
        <w:widowControl w:val="0"/>
        <w:numPr>
          <w:ilvl w:val="0"/>
          <w:numId w:val="34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Alegerea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/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revocarea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;</w:t>
      </w:r>
    </w:p>
    <w:p w14:paraId="1587A5BB" w14:textId="77777777" w:rsidR="00F932A4" w:rsidRDefault="00F932A4" w:rsidP="00F932A4">
      <w:pPr>
        <w:pStyle w:val="12"/>
        <w:widowControl w:val="0"/>
        <w:numPr>
          <w:ilvl w:val="0"/>
          <w:numId w:val="34"/>
        </w:numPr>
        <w:spacing w:line="27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Aderarea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Excluderea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membrilor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;</w:t>
      </w:r>
    </w:p>
    <w:p w14:paraId="0FEDC29D" w14:textId="77777777" w:rsidR="00F932A4" w:rsidRDefault="00F932A4" w:rsidP="00F932A4">
      <w:pPr>
        <w:pStyle w:val="12"/>
        <w:widowControl w:val="0"/>
        <w:numPr>
          <w:ilvl w:val="0"/>
          <w:numId w:val="34"/>
        </w:numPr>
        <w:spacing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Dizolvarea</w:t>
      </w:r>
      <w:proofErr w:type="spellEnd"/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GECT,</w:t>
      </w:r>
    </w:p>
    <w:p w14:paraId="2F4FC60C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calificată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două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treimi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(2/3)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totalul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drept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26D7900" w14:textId="77777777" w:rsidR="00F932A4" w:rsidRPr="009A047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5CC7C925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r w:rsidRPr="009A047F">
        <w:rPr>
          <w:i/>
          <w:iCs/>
          <w:color w:val="1B1C1D"/>
          <w:lang w:val="en-US"/>
        </w:rPr>
        <w:t>SECȚIUNEA 2: BIROUL EXECUTIV</w:t>
      </w:r>
    </w:p>
    <w:p w14:paraId="777C699A" w14:textId="77777777" w:rsidR="00F932A4" w:rsidRPr="009A047F" w:rsidRDefault="00F932A4" w:rsidP="00F932A4">
      <w:pPr>
        <w:pStyle w:val="12"/>
        <w:spacing w:after="160" w:line="278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C3EFD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12: </w:t>
      </w:r>
      <w:proofErr w:type="spellStart"/>
      <w:r w:rsidRPr="009A047F">
        <w:rPr>
          <w:i/>
          <w:iCs/>
          <w:color w:val="1B1C1D"/>
          <w:lang w:val="en-US"/>
        </w:rPr>
        <w:t>Componența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și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mandatul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Biroului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Executiv</w:t>
      </w:r>
      <w:proofErr w:type="spellEnd"/>
    </w:p>
    <w:p w14:paraId="54396E77" w14:textId="77777777" w:rsidR="00F932A4" w:rsidRPr="009A047F" w:rsidRDefault="00F932A4" w:rsidP="00F932A4">
      <w:pPr>
        <w:pStyle w:val="12"/>
        <w:widowControl w:val="0"/>
        <w:numPr>
          <w:ilvl w:val="0"/>
          <w:numId w:val="3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colegial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asigură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pregătirea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supervizarea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acestora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către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Director.</w:t>
      </w:r>
    </w:p>
    <w:p w14:paraId="3A4F9D21" w14:textId="77777777" w:rsidR="00F932A4" w:rsidRPr="009A047F" w:rsidRDefault="00F932A4" w:rsidP="00F932A4">
      <w:pPr>
        <w:pStyle w:val="12"/>
        <w:widowControl w:val="0"/>
        <w:numPr>
          <w:ilvl w:val="0"/>
          <w:numId w:val="3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Componența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reflectă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structura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agreată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cadrul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Forumului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Inițiere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compus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46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patruzeci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șase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aleși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4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ani,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asigurând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reprezentare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echilibrată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state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tipologiilor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B4BC2EC" w14:textId="77777777" w:rsidR="00F932A4" w:rsidRPr="009A047F" w:rsidRDefault="00F932A4" w:rsidP="00F932A4">
      <w:pPr>
        <w:pStyle w:val="12"/>
        <w:widowControl w:val="0"/>
        <w:numPr>
          <w:ilvl w:val="0"/>
          <w:numId w:val="3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Lista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nominală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primului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Hotărârea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Forumului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18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septembrie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2025</w:t>
      </w:r>
    </w:p>
    <w:p w14:paraId="44819999" w14:textId="77777777" w:rsidR="00F932A4" w:rsidRPr="0094442D" w:rsidRDefault="00F932A4" w:rsidP="00F932A4">
      <w:pPr>
        <w:pStyle w:val="12"/>
        <w:widowControl w:val="0"/>
        <w:numPr>
          <w:ilvl w:val="0"/>
          <w:numId w:val="35"/>
        </w:numPr>
        <w:spacing w:line="275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își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alege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Președinte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4 (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patru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Vicepreședinți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câte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fiecare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țară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participantă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).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Președintele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Biroului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Executiv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este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de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drept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și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>Președintele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GECT.</w:t>
      </w:r>
    </w:p>
    <w:p w14:paraId="3AEE4F76" w14:textId="77777777" w:rsidR="00F932A4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636B2347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13: Atribuțiile Biroului Executiv</w:t>
      </w:r>
    </w:p>
    <w:p w14:paraId="20354A97" w14:textId="77777777" w:rsidR="00F932A4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377B36A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Elaborează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strategiei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planul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activități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înaintează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CEBAC09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Supraveghează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activitatea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Secretariatului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ședințele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48339E2D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numirea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revocarea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F47F411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organigrama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politica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personal,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66B3A9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(e)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agenda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lucru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AB2B965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(f)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Monitorizează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strategice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57F470A" w14:textId="77777777" w:rsidR="00F932A4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(g) Se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întrunește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ordinar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4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 an.</w:t>
      </w:r>
    </w:p>
    <w:p w14:paraId="4ED4FAF6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BAC8F46" w14:textId="77777777" w:rsidR="00F932A4" w:rsidRPr="009A047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6015D74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r w:rsidRPr="009A047F">
        <w:rPr>
          <w:i/>
          <w:iCs/>
          <w:color w:val="1B1C1D"/>
          <w:lang w:val="en-US"/>
        </w:rPr>
        <w:lastRenderedPageBreak/>
        <w:t>SECȚIUNEA 3: DIRECTORUL</w:t>
      </w:r>
    </w:p>
    <w:p w14:paraId="7D6AE9A1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14: </w:t>
      </w:r>
      <w:proofErr w:type="spellStart"/>
      <w:r w:rsidRPr="009A047F">
        <w:rPr>
          <w:i/>
          <w:iCs/>
          <w:color w:val="1B1C1D"/>
          <w:lang w:val="en-US"/>
        </w:rPr>
        <w:t>Numirea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și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statutul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Directorului</w:t>
      </w:r>
      <w:proofErr w:type="spellEnd"/>
    </w:p>
    <w:p w14:paraId="0991B210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3568CAEF" w14:textId="77777777" w:rsidR="00F932A4" w:rsidRPr="009A047F" w:rsidRDefault="00F932A4" w:rsidP="00F932A4">
      <w:pPr>
        <w:pStyle w:val="12"/>
        <w:widowControl w:val="0"/>
        <w:numPr>
          <w:ilvl w:val="0"/>
          <w:numId w:val="20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unipersonal al GECT,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responsabil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managementul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zi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03DF25E" w14:textId="77777777" w:rsidR="00F932A4" w:rsidRPr="0094442D" w:rsidRDefault="00F932A4" w:rsidP="00F932A4">
      <w:pPr>
        <w:pStyle w:val="12"/>
        <w:widowControl w:val="0"/>
        <w:numPr>
          <w:ilvl w:val="0"/>
          <w:numId w:val="20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numit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la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pe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bază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concurs,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un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5 (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cinci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ani,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reînnoibil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singură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387B4D3" w14:textId="77777777" w:rsidR="00F932A4" w:rsidRPr="009A047F" w:rsidRDefault="00F932A4" w:rsidP="00F932A4">
      <w:pPr>
        <w:pStyle w:val="12"/>
        <w:widowControl w:val="0"/>
        <w:numPr>
          <w:ilvl w:val="0"/>
          <w:numId w:val="20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angajat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contract individual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muncă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muncii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830D0B9" w14:textId="77777777" w:rsidR="00F932A4" w:rsidRPr="009A047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3C453C1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15: </w:t>
      </w:r>
      <w:proofErr w:type="spellStart"/>
      <w:r w:rsidRPr="009A047F">
        <w:rPr>
          <w:i/>
          <w:iCs/>
          <w:color w:val="1B1C1D"/>
          <w:lang w:val="en-US"/>
        </w:rPr>
        <w:t>Atribuțiile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Directorului</w:t>
      </w:r>
      <w:proofErr w:type="spellEnd"/>
    </w:p>
    <w:p w14:paraId="1DCDC10C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Reprezintă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relațiile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terții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justiție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toate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vieții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civile.</w:t>
      </w:r>
    </w:p>
    <w:p w14:paraId="7973AA18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(b)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Acționează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angajează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juridic,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limitele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mandatului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acordat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5515885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Este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ordonator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credite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7CBDE59E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Conduce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Secretariatul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organizează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gestionează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realizând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recrutare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angajare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C1ECF8B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(e)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raportează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periodic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acestora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50CC5C2" w14:textId="77777777" w:rsidR="00F932A4" w:rsidRPr="009A047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(f)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Elaborează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supune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rapoartele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documente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strategice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60BA182" w14:textId="77777777" w:rsidR="00F932A4" w:rsidRPr="009A047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773FBFA1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SECȚIUNEA 4: SECRETARIATUL TEHNIC</w:t>
      </w:r>
    </w:p>
    <w:p w14:paraId="63A787A9" w14:textId="77777777" w:rsidR="00F932A4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2D0C481F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16: Organizare</w:t>
      </w:r>
    </w:p>
    <w:p w14:paraId="4B378C0D" w14:textId="77777777" w:rsidR="00F932A4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2D04B0CE" w14:textId="77777777" w:rsidR="00F932A4" w:rsidRPr="009A047F" w:rsidRDefault="00F932A4" w:rsidP="00F932A4">
      <w:pPr>
        <w:pStyle w:val="12"/>
        <w:widowControl w:val="0"/>
        <w:numPr>
          <w:ilvl w:val="0"/>
          <w:numId w:val="28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sprijinit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activitatea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gram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 Secretariat</w:t>
      </w:r>
      <w:proofErr w:type="gram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7FF9FC3" w14:textId="77777777" w:rsidR="00F932A4" w:rsidRPr="009A047F" w:rsidRDefault="00F932A4" w:rsidP="00F932A4">
      <w:pPr>
        <w:pStyle w:val="12"/>
        <w:widowControl w:val="0"/>
        <w:numPr>
          <w:ilvl w:val="0"/>
          <w:numId w:val="28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Structura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Secretariatului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organigrama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limitele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14A0B5EA" w14:textId="77777777" w:rsidR="00F932A4" w:rsidRPr="009A047F" w:rsidRDefault="00F932A4" w:rsidP="00F932A4">
      <w:pPr>
        <w:pStyle w:val="12"/>
        <w:widowControl w:val="0"/>
        <w:numPr>
          <w:ilvl w:val="0"/>
          <w:numId w:val="28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Personalul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Secretariatului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angajat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contract individual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muncă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muncii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46F7CB7" w14:textId="77777777" w:rsidR="00F932A4" w:rsidRPr="009A047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444746"/>
          <w:sz w:val="24"/>
          <w:szCs w:val="24"/>
          <w:vertAlign w:val="superscript"/>
          <w:lang w:val="en-US"/>
        </w:rPr>
      </w:pPr>
    </w:p>
    <w:p w14:paraId="741066D9" w14:textId="77777777" w:rsidR="00F932A4" w:rsidRPr="009A047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IV: BUGET ȘI FINANȚE</w:t>
      </w:r>
    </w:p>
    <w:p w14:paraId="3446821A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0FF9EF3F" w14:textId="77777777" w:rsidR="00F932A4" w:rsidRPr="009A047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9A047F">
        <w:rPr>
          <w:i/>
          <w:iCs/>
          <w:color w:val="1B1C1D"/>
          <w:lang w:val="en-US"/>
        </w:rPr>
        <w:t>Articolul</w:t>
      </w:r>
      <w:proofErr w:type="spellEnd"/>
      <w:r w:rsidRPr="009A047F">
        <w:rPr>
          <w:i/>
          <w:iCs/>
          <w:color w:val="1B1C1D"/>
          <w:lang w:val="en-US"/>
        </w:rPr>
        <w:t xml:space="preserve"> 17: </w:t>
      </w:r>
      <w:proofErr w:type="spellStart"/>
      <w:r w:rsidRPr="009A047F">
        <w:rPr>
          <w:i/>
          <w:iCs/>
          <w:color w:val="1B1C1D"/>
          <w:lang w:val="en-US"/>
        </w:rPr>
        <w:t>Resurse</w:t>
      </w:r>
      <w:proofErr w:type="spellEnd"/>
      <w:r w:rsidRPr="009A047F">
        <w:rPr>
          <w:i/>
          <w:iCs/>
          <w:color w:val="1B1C1D"/>
          <w:lang w:val="en-US"/>
        </w:rPr>
        <w:t xml:space="preserve"> </w:t>
      </w:r>
      <w:proofErr w:type="spellStart"/>
      <w:r w:rsidRPr="009A047F">
        <w:rPr>
          <w:i/>
          <w:iCs/>
          <w:color w:val="1B1C1D"/>
          <w:lang w:val="en-US"/>
        </w:rPr>
        <w:t>financiare</w:t>
      </w:r>
      <w:proofErr w:type="spellEnd"/>
    </w:p>
    <w:p w14:paraId="025C0886" w14:textId="77777777" w:rsidR="00F932A4" w:rsidRPr="005D681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Sursele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finanțare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includ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1FBFBED8" w14:textId="77777777" w:rsidR="00F932A4" w:rsidRPr="005D681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(a)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A0926DC" w14:textId="77777777" w:rsidR="00F932A4" w:rsidRPr="005D681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lastRenderedPageBreak/>
        <w:t xml:space="preserve">(b)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Finanțări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nerambursabile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Uniunii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Europene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C248DDA" w14:textId="77777777" w:rsidR="00F932A4" w:rsidRPr="005D681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(c)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natură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(in-kind)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partea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(ex.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punerea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dispoziție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personal,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spații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).</w:t>
      </w:r>
    </w:p>
    <w:p w14:paraId="5162CC6B" w14:textId="77777777" w:rsidR="00F932A4" w:rsidRPr="005D681F" w:rsidRDefault="00F932A4" w:rsidP="00F932A4">
      <w:pPr>
        <w:pStyle w:val="12"/>
        <w:spacing w:after="160" w:line="275" w:lineRule="auto"/>
        <w:ind w:left="10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(d)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Donații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sponsorizări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orice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surse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649182F" w14:textId="77777777" w:rsidR="00F932A4" w:rsidRPr="005D681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4D31B1D1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18: Contribuțiile membrilor</w:t>
      </w:r>
    </w:p>
    <w:p w14:paraId="067F8A9A" w14:textId="77777777" w:rsidR="00F932A4" w:rsidRPr="0094442D" w:rsidRDefault="00F932A4" w:rsidP="00F932A4">
      <w:pPr>
        <w:pStyle w:val="12"/>
        <w:widowControl w:val="0"/>
        <w:numPr>
          <w:ilvl w:val="0"/>
          <w:numId w:val="3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Fiecare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membru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GECT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datorează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anuală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acoperirea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costurilor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funcționare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(administrative) ale </w:t>
      </w:r>
      <w:proofErr w:type="spellStart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Grupării</w:t>
      </w:r>
      <w:proofErr w:type="spellEnd"/>
      <w:r w:rsidRPr="0094442D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5F4EA18" w14:textId="77777777" w:rsidR="00F932A4" w:rsidRPr="005D681F" w:rsidRDefault="00F932A4" w:rsidP="00F932A4">
      <w:pPr>
        <w:pStyle w:val="12"/>
        <w:widowControl w:val="0"/>
        <w:numPr>
          <w:ilvl w:val="0"/>
          <w:numId w:val="3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Metodologia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calcul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cuantumul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detaliate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II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FC584BD" w14:textId="77777777" w:rsidR="00F932A4" w:rsidRPr="005D681F" w:rsidRDefault="00F932A4" w:rsidP="00F932A4">
      <w:pPr>
        <w:pStyle w:val="12"/>
        <w:widowControl w:val="0"/>
        <w:numPr>
          <w:ilvl w:val="0"/>
          <w:numId w:val="33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Costurile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implementare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specifice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nu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acoperite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ci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proiectelor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respective.</w:t>
      </w:r>
    </w:p>
    <w:p w14:paraId="578247B0" w14:textId="77777777" w:rsidR="00F932A4" w:rsidRPr="005D681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3C04FCAF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19: Exercițiul bugetar și contabilitatea</w:t>
      </w:r>
    </w:p>
    <w:p w14:paraId="265EA5EF" w14:textId="77777777" w:rsidR="00F932A4" w:rsidRPr="005D681F" w:rsidRDefault="00F932A4" w:rsidP="00F932A4">
      <w:pPr>
        <w:pStyle w:val="12"/>
        <w:widowControl w:val="0"/>
        <w:numPr>
          <w:ilvl w:val="0"/>
          <w:numId w:val="19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Exercițiul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financiar-bugetar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începe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1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ianuarie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încheie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31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decembrie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fiecărui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an.</w:t>
      </w:r>
    </w:p>
    <w:p w14:paraId="18108BEE" w14:textId="77777777" w:rsidR="00F932A4" w:rsidRPr="005D681F" w:rsidRDefault="00F932A4" w:rsidP="00F932A4">
      <w:pPr>
        <w:pStyle w:val="12"/>
        <w:widowControl w:val="0"/>
        <w:numPr>
          <w:ilvl w:val="0"/>
          <w:numId w:val="19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Normele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contabile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aplicabile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conform Art. 7(b)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4DD4F596" w14:textId="77777777" w:rsidR="00F932A4" w:rsidRPr="005D681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444746"/>
          <w:sz w:val="24"/>
          <w:szCs w:val="24"/>
          <w:vertAlign w:val="superscript"/>
          <w:lang w:val="en-US"/>
        </w:rPr>
      </w:pPr>
    </w:p>
    <w:p w14:paraId="7DDE6A4F" w14:textId="77777777" w:rsidR="00F932A4" w:rsidRPr="005D681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5D681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V: CONTROL FINANCIAR ȘI RĂSPUNDERE</w:t>
      </w:r>
    </w:p>
    <w:p w14:paraId="58A14B57" w14:textId="77777777" w:rsidR="00F932A4" w:rsidRPr="005D681F" w:rsidRDefault="00F932A4" w:rsidP="00F932A4">
      <w:pPr>
        <w:pStyle w:val="12"/>
        <w:spacing w:after="160" w:line="278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D41F26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20: Controlul intern și extern</w:t>
      </w:r>
    </w:p>
    <w:p w14:paraId="6ABBC6C6" w14:textId="77777777" w:rsidR="00F932A4" w:rsidRPr="005D681F" w:rsidRDefault="00F932A4" w:rsidP="00F932A4">
      <w:pPr>
        <w:pStyle w:val="12"/>
        <w:widowControl w:val="0"/>
        <w:numPr>
          <w:ilvl w:val="0"/>
          <w:numId w:val="24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Directorul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responsabil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gestionarea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corectă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40C58F31" w14:textId="77777777" w:rsidR="00F932A4" w:rsidRPr="005D681F" w:rsidRDefault="00F932A4" w:rsidP="00F932A4">
      <w:pPr>
        <w:pStyle w:val="12"/>
        <w:widowControl w:val="0"/>
        <w:numPr>
          <w:ilvl w:val="0"/>
          <w:numId w:val="24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Controlul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gestionării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GECT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este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asigurat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respectiv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Curtea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Conturi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României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precum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competente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celorlalte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state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(Bulgaria)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instituțiilor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UE (OLAF,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Curtea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Conturi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Europeană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Parchetul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European - EPPO).</w:t>
      </w:r>
    </w:p>
    <w:p w14:paraId="76132EE7" w14:textId="77777777" w:rsidR="00F932A4" w:rsidRPr="005D681F" w:rsidRDefault="00F932A4" w:rsidP="00F932A4">
      <w:pPr>
        <w:pStyle w:val="12"/>
        <w:widowControl w:val="0"/>
        <w:numPr>
          <w:ilvl w:val="0"/>
          <w:numId w:val="24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Conturile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auditate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un auditor extern independent,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desemnat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8FB4788" w14:textId="77777777" w:rsidR="00F932A4" w:rsidRPr="005D681F" w:rsidRDefault="00F932A4" w:rsidP="00F932A4">
      <w:pPr>
        <w:pStyle w:val="12"/>
        <w:spacing w:before="24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3AF410BC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21: Răspunderea</w:t>
      </w:r>
    </w:p>
    <w:p w14:paraId="4032DE74" w14:textId="77777777" w:rsidR="00F932A4" w:rsidRPr="005D681F" w:rsidRDefault="00F932A4" w:rsidP="00F932A4">
      <w:pPr>
        <w:pStyle w:val="12"/>
        <w:widowControl w:val="0"/>
        <w:numPr>
          <w:ilvl w:val="0"/>
          <w:numId w:val="3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GECT EAST GATE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răspunde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sale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întregul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patrimoniu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7A8CE007" w14:textId="77777777" w:rsidR="00F932A4" w:rsidRPr="005D681F" w:rsidRDefault="00F932A4" w:rsidP="00F932A4">
      <w:pPr>
        <w:pStyle w:val="12"/>
        <w:widowControl w:val="0"/>
        <w:numPr>
          <w:ilvl w:val="0"/>
          <w:numId w:val="3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cazul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sunt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insuficiente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acoperirea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datoriilor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răspund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acesteia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indiferent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natura lor,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proporțional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lor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curs.</w:t>
      </w:r>
    </w:p>
    <w:p w14:paraId="097B6F39" w14:textId="77777777" w:rsidR="00F932A4" w:rsidRPr="005D681F" w:rsidRDefault="00F932A4" w:rsidP="00F932A4">
      <w:pPr>
        <w:pStyle w:val="12"/>
        <w:widowControl w:val="0"/>
        <w:numPr>
          <w:ilvl w:val="0"/>
          <w:numId w:val="3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Această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răspundere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subsidiară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proporțională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12(2)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12(2a)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Regulamentul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(CE) nr. 1082/2006.</w:t>
      </w:r>
    </w:p>
    <w:p w14:paraId="5F6688CA" w14:textId="77777777" w:rsidR="00F932A4" w:rsidRPr="005D681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9A983A" w14:textId="77777777" w:rsidR="00F932A4" w:rsidRPr="005D681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5D681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lastRenderedPageBreak/>
        <w:t>CAPITOLUL VI: MODIFICAREA STATUTULUI ȘI DIZOLVAREA</w:t>
      </w:r>
    </w:p>
    <w:p w14:paraId="74CEEA05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22: Modificarea Statutului</w:t>
      </w:r>
    </w:p>
    <w:p w14:paraId="40F4B2E2" w14:textId="77777777" w:rsidR="00F932A4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067F65B1" w14:textId="77777777" w:rsidR="00F932A4" w:rsidRPr="005D681F" w:rsidRDefault="00F932A4" w:rsidP="00F932A4">
      <w:pPr>
        <w:pStyle w:val="12"/>
        <w:widowControl w:val="0"/>
        <w:numPr>
          <w:ilvl w:val="0"/>
          <w:numId w:val="2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face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puțin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o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treime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(1/3)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GECT.</w:t>
      </w:r>
    </w:p>
    <w:p w14:paraId="606CE5C1" w14:textId="77777777" w:rsidR="00F932A4" w:rsidRPr="005D681F" w:rsidRDefault="00F932A4" w:rsidP="00F932A4">
      <w:pPr>
        <w:pStyle w:val="12"/>
        <w:widowControl w:val="0"/>
        <w:numPr>
          <w:ilvl w:val="0"/>
          <w:numId w:val="2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Modificările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adoptă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calificată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Art. 11(b)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4CB70EA1" w14:textId="77777777" w:rsidR="00F932A4" w:rsidRPr="005D681F" w:rsidRDefault="00F932A4" w:rsidP="00F932A4">
      <w:pPr>
        <w:pStyle w:val="12"/>
        <w:widowControl w:val="0"/>
        <w:numPr>
          <w:ilvl w:val="0"/>
          <w:numId w:val="25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Modificările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implică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modificarea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(ex.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schimbarea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obiectivului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listei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trebuie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urmeze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9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25B91773" w14:textId="77777777" w:rsidR="00F932A4" w:rsidRPr="005D681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C54BE7" w14:textId="77777777" w:rsidR="00F932A4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</w:rPr>
      </w:pPr>
      <w:r>
        <w:rPr>
          <w:i/>
          <w:iCs/>
          <w:color w:val="1B1C1D"/>
        </w:rPr>
        <w:t>Articolul 23: Dizolvarea și lichidarea</w:t>
      </w:r>
    </w:p>
    <w:p w14:paraId="53FDAE70" w14:textId="77777777" w:rsidR="00F932A4" w:rsidRPr="005D681F" w:rsidRDefault="00F932A4" w:rsidP="00F932A4">
      <w:pPr>
        <w:pStyle w:val="12"/>
        <w:widowControl w:val="0"/>
        <w:numPr>
          <w:ilvl w:val="0"/>
          <w:numId w:val="2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Dizolvarea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se decide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majoritatea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calificată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prevăzută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Art. 11(b).</w:t>
      </w:r>
    </w:p>
    <w:p w14:paraId="4619F081" w14:textId="77777777" w:rsidR="00F932A4" w:rsidRPr="005D681F" w:rsidRDefault="00F932A4" w:rsidP="00F932A4">
      <w:pPr>
        <w:pStyle w:val="12"/>
        <w:widowControl w:val="0"/>
        <w:numPr>
          <w:ilvl w:val="0"/>
          <w:numId w:val="2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Dizolvarea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atrage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deschiderea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procedurii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lichidare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care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gestionată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unul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sau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mai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mulți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lichidatori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numiți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6C2C5B54" w14:textId="77777777" w:rsidR="00F932A4" w:rsidRPr="005D681F" w:rsidRDefault="00F932A4" w:rsidP="00F932A4">
      <w:pPr>
        <w:pStyle w:val="12"/>
        <w:widowControl w:val="0"/>
        <w:numPr>
          <w:ilvl w:val="0"/>
          <w:numId w:val="2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Lichidarea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realizează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România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).</w:t>
      </w:r>
    </w:p>
    <w:p w14:paraId="7CB896E1" w14:textId="77777777" w:rsidR="00F932A4" w:rsidRPr="005D681F" w:rsidRDefault="00F932A4" w:rsidP="00F932A4">
      <w:pPr>
        <w:pStyle w:val="12"/>
        <w:widowControl w:val="0"/>
        <w:numPr>
          <w:ilvl w:val="0"/>
          <w:numId w:val="2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Eventualul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activ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net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rămas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după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stingerea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pasivului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datoriilor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distribuit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între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rămași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proporțional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lor cumulate de-a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lungul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existenței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GECT,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excepția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cazului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care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decide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altfel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50812F32" w14:textId="77777777" w:rsidR="00F932A4" w:rsidRPr="005D681F" w:rsidRDefault="00F932A4" w:rsidP="00F932A4">
      <w:pPr>
        <w:pStyle w:val="12"/>
        <w:widowControl w:val="0"/>
        <w:numPr>
          <w:ilvl w:val="0"/>
          <w:numId w:val="22"/>
        </w:numPr>
        <w:spacing w:line="275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Dizolvarea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notifică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naționale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(MDLPA)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Comitetului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Regiunilor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06FC7BF1" w14:textId="77777777" w:rsidR="00F932A4" w:rsidRPr="005D681F" w:rsidRDefault="00F932A4" w:rsidP="00F932A4">
      <w:pPr>
        <w:pStyle w:val="12"/>
        <w:widowControl w:val="0"/>
        <w:spacing w:line="275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F2B79CF" w14:textId="77777777" w:rsidR="00F932A4" w:rsidRPr="005D681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5D681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CAPITOLUL VII: DISPOZIȚII FINALE</w:t>
      </w:r>
    </w:p>
    <w:p w14:paraId="61ECC8F2" w14:textId="77777777" w:rsidR="00F932A4" w:rsidRPr="005D681F" w:rsidRDefault="00F932A4" w:rsidP="00F932A4">
      <w:pPr>
        <w:pStyle w:val="12"/>
        <w:spacing w:after="160" w:line="278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E5E872" w14:textId="77777777" w:rsidR="00F932A4" w:rsidRPr="005D681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5D681F">
        <w:rPr>
          <w:i/>
          <w:iCs/>
          <w:color w:val="1B1C1D"/>
          <w:lang w:val="en-US"/>
        </w:rPr>
        <w:t>Articolul</w:t>
      </w:r>
      <w:proofErr w:type="spellEnd"/>
      <w:r w:rsidRPr="005D681F">
        <w:rPr>
          <w:i/>
          <w:iCs/>
          <w:color w:val="1B1C1D"/>
          <w:lang w:val="en-US"/>
        </w:rPr>
        <w:t xml:space="preserve"> 24: </w:t>
      </w:r>
      <w:proofErr w:type="spellStart"/>
      <w:r w:rsidRPr="005D681F">
        <w:rPr>
          <w:i/>
          <w:iCs/>
          <w:color w:val="1B1C1D"/>
          <w:lang w:val="en-US"/>
        </w:rPr>
        <w:t>Transparență</w:t>
      </w:r>
      <w:proofErr w:type="spellEnd"/>
    </w:p>
    <w:p w14:paraId="361332E8" w14:textId="77777777" w:rsidR="00F932A4" w:rsidRPr="005D681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Toate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deciziile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procesele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verbale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Adunării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puse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dispoziția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cerere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autorităților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publice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conformitate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principiile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transparenței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legislația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aplicabilă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1994D1CA" w14:textId="77777777" w:rsidR="00F932A4" w:rsidRPr="005D681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7D40EE3F" w14:textId="77777777" w:rsidR="00F932A4" w:rsidRPr="005D681F" w:rsidRDefault="00F932A4" w:rsidP="00F932A4">
      <w:pPr>
        <w:pStyle w:val="4"/>
        <w:spacing w:before="0" w:after="0" w:line="275" w:lineRule="auto"/>
        <w:jc w:val="both"/>
        <w:rPr>
          <w:i/>
          <w:iCs/>
          <w:color w:val="1B1C1D"/>
          <w:lang w:val="en-US"/>
        </w:rPr>
      </w:pPr>
      <w:proofErr w:type="spellStart"/>
      <w:r w:rsidRPr="005D681F">
        <w:rPr>
          <w:i/>
          <w:iCs/>
          <w:color w:val="1B1C1D"/>
          <w:lang w:val="en-US"/>
        </w:rPr>
        <w:t>Articolul</w:t>
      </w:r>
      <w:proofErr w:type="spellEnd"/>
      <w:r w:rsidRPr="005D681F">
        <w:rPr>
          <w:i/>
          <w:iCs/>
          <w:color w:val="1B1C1D"/>
          <w:lang w:val="en-US"/>
        </w:rPr>
        <w:t xml:space="preserve"> 25: </w:t>
      </w:r>
      <w:proofErr w:type="spellStart"/>
      <w:r w:rsidRPr="005D681F">
        <w:rPr>
          <w:i/>
          <w:iCs/>
          <w:color w:val="1B1C1D"/>
          <w:lang w:val="en-US"/>
        </w:rPr>
        <w:t>Intrare</w:t>
      </w:r>
      <w:proofErr w:type="spellEnd"/>
      <w:r w:rsidRPr="005D681F">
        <w:rPr>
          <w:i/>
          <w:iCs/>
          <w:color w:val="1B1C1D"/>
          <w:lang w:val="en-US"/>
        </w:rPr>
        <w:t xml:space="preserve"> </w:t>
      </w:r>
      <w:proofErr w:type="spellStart"/>
      <w:r w:rsidRPr="005D681F">
        <w:rPr>
          <w:i/>
          <w:iCs/>
          <w:color w:val="1B1C1D"/>
          <w:lang w:val="en-US"/>
        </w:rPr>
        <w:t>în</w:t>
      </w:r>
      <w:proofErr w:type="spellEnd"/>
      <w:r w:rsidRPr="005D681F">
        <w:rPr>
          <w:i/>
          <w:iCs/>
          <w:color w:val="1B1C1D"/>
          <w:lang w:val="en-US"/>
        </w:rPr>
        <w:t xml:space="preserve"> </w:t>
      </w:r>
      <w:proofErr w:type="spellStart"/>
      <w:r w:rsidRPr="005D681F">
        <w:rPr>
          <w:i/>
          <w:iCs/>
          <w:color w:val="1B1C1D"/>
          <w:lang w:val="en-US"/>
        </w:rPr>
        <w:t>Vigoare</w:t>
      </w:r>
      <w:proofErr w:type="spellEnd"/>
    </w:p>
    <w:p w14:paraId="3F00EC1C" w14:textId="77777777" w:rsidR="00F932A4" w:rsidRPr="005D681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216EC684" w14:textId="77777777" w:rsidR="00F932A4" w:rsidRPr="005D681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Prezentul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intră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vigoare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la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aceeași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dată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cu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Convenția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conform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Articolului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10 din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Convenție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.</w:t>
      </w:r>
    </w:p>
    <w:p w14:paraId="31C26F59" w14:textId="77777777" w:rsidR="00F932A4" w:rsidRPr="005D681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S-a </w:t>
      </w:r>
      <w:proofErr w:type="spellStart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votat</w:t>
      </w:r>
      <w:proofErr w:type="spellEnd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: </w:t>
      </w:r>
      <w:proofErr w:type="spellStart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Pentru</w:t>
      </w:r>
      <w:proofErr w:type="spellEnd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_________________; </w:t>
      </w:r>
      <w:proofErr w:type="spellStart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Împotrivă</w:t>
      </w:r>
      <w:proofErr w:type="spellEnd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_________________; </w:t>
      </w:r>
      <w:proofErr w:type="spellStart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Abțineri</w:t>
      </w:r>
      <w:proofErr w:type="spellEnd"/>
      <w:r w:rsidRPr="005D681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__________</w:t>
      </w:r>
    </w:p>
    <w:p w14:paraId="0B36886B" w14:textId="77777777" w:rsidR="00F932A4" w:rsidRPr="005D681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</w:p>
    <w:p w14:paraId="461C379A" w14:textId="77777777" w:rsidR="00F932A4" w:rsidRPr="005D681F" w:rsidRDefault="00F932A4" w:rsidP="00F932A4">
      <w:pPr>
        <w:pStyle w:val="12"/>
        <w:spacing w:before="120"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Conducător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Comitet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înființare</w:t>
      </w:r>
      <w:proofErr w:type="spellEnd"/>
      <w:r w:rsidRPr="005D681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GECT ________________</w:t>
      </w:r>
    </w:p>
    <w:p w14:paraId="438DFAC4" w14:textId="77777777" w:rsidR="00F932A4" w:rsidRPr="005D681F" w:rsidRDefault="00F932A4" w:rsidP="00F932A4">
      <w:pPr>
        <w:pStyle w:val="3"/>
        <w:spacing w:before="0" w:after="0" w:line="275" w:lineRule="auto"/>
        <w:jc w:val="right"/>
        <w:rPr>
          <w:rFonts w:ascii="Times New Roman" w:eastAsia="Times New Roman" w:hAnsi="Times New Roman"/>
          <w:i/>
          <w:iCs/>
          <w:color w:val="1B1C1D"/>
          <w:sz w:val="24"/>
          <w:szCs w:val="24"/>
          <w:lang w:val="en-US"/>
        </w:rPr>
      </w:pPr>
    </w:p>
    <w:p w14:paraId="38DA19A7" w14:textId="77777777" w:rsidR="00F932A4" w:rsidRPr="005D681F" w:rsidRDefault="00F932A4" w:rsidP="00F932A4">
      <w:pPr>
        <w:pStyle w:val="12"/>
        <w:rPr>
          <w:lang w:val="en-US"/>
        </w:rPr>
      </w:pPr>
    </w:p>
    <w:p w14:paraId="2216FD74" w14:textId="77777777" w:rsidR="00F932A4" w:rsidRPr="005D681F" w:rsidRDefault="00F932A4" w:rsidP="00F932A4">
      <w:pPr>
        <w:pStyle w:val="12"/>
        <w:rPr>
          <w:lang w:val="en-US"/>
        </w:rPr>
      </w:pPr>
    </w:p>
    <w:p w14:paraId="67060030" w14:textId="77777777" w:rsidR="00F932A4" w:rsidRPr="005D681F" w:rsidRDefault="00F932A4" w:rsidP="00F932A4">
      <w:pPr>
        <w:pStyle w:val="12"/>
        <w:rPr>
          <w:lang w:val="en-US"/>
        </w:rPr>
      </w:pPr>
    </w:p>
    <w:p w14:paraId="6C42225A" w14:textId="77777777" w:rsidR="00F932A4" w:rsidRPr="009A047F" w:rsidRDefault="00F932A4" w:rsidP="00F932A4">
      <w:pPr>
        <w:pStyle w:val="3"/>
        <w:spacing w:before="0" w:after="0" w:line="275" w:lineRule="auto"/>
        <w:jc w:val="right"/>
        <w:rPr>
          <w:rFonts w:ascii="Times New Roman" w:eastAsia="Times New Roman" w:hAnsi="Times New Roman"/>
          <w:b w:val="0"/>
          <w:bCs w:val="0"/>
          <w:i/>
          <w:iCs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i/>
          <w:iCs/>
          <w:color w:val="1B1C1D"/>
          <w:sz w:val="24"/>
          <w:szCs w:val="24"/>
          <w:lang w:val="en-US"/>
        </w:rPr>
        <w:lastRenderedPageBreak/>
        <w:t>ANEXA I LA STATUT</w:t>
      </w:r>
    </w:p>
    <w:p w14:paraId="402CCCA2" w14:textId="77777777" w:rsidR="00F932A4" w:rsidRPr="009A047F" w:rsidRDefault="00F932A4" w:rsidP="00F932A4">
      <w:pPr>
        <w:pStyle w:val="3"/>
        <w:spacing w:before="0" w:after="0" w:line="275" w:lineRule="auto"/>
        <w:jc w:val="both"/>
        <w:rPr>
          <w:rFonts w:ascii="Times New Roman" w:eastAsia="Times New Roman" w:hAnsi="Times New Roman"/>
          <w:color w:val="1B1C1D"/>
          <w:sz w:val="24"/>
          <w:szCs w:val="24"/>
          <w:lang w:val="en-US"/>
        </w:rPr>
      </w:pPr>
      <w:r w:rsidRPr="009A047F">
        <w:rPr>
          <w:rFonts w:ascii="Times New Roman" w:eastAsia="Times New Roman" w:hAnsi="Times New Roman"/>
          <w:color w:val="1B1C1D"/>
          <w:sz w:val="24"/>
          <w:szCs w:val="24"/>
          <w:lang w:val="en-US"/>
        </w:rPr>
        <w:t>METODOLOGIA DE CALCUL A CONTRIBUȚIILOR (COTIZAȚIILOR) ANUALE</w:t>
      </w:r>
    </w:p>
    <w:p w14:paraId="11B33919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Prezenta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anexă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stabilește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principiile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metodologia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calcul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pentru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contribuțiile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financiare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cotizațiile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)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datorate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membri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conform Art. 18 din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Statut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.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Aceste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fonduri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sunt destinate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exclusiv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acoperirii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costurilor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administrative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Secretariatului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Tehnic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al GECT (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cheltuieli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personal,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sediu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utilități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logistică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, audit, etc.).</w:t>
      </w:r>
    </w:p>
    <w:p w14:paraId="23A22A2F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Sumele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exacte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vor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fi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stabilite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și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actualizate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anual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Adunarea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Generală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la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propunerea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Biroului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Executiv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pe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baza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bugetului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funcționare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aprobat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,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respectând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următoarea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grilă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calcul</w:t>
      </w:r>
      <w:proofErr w:type="spellEnd"/>
      <w:r w:rsidRPr="009A047F"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  <w:t>:</w:t>
      </w:r>
    </w:p>
    <w:p w14:paraId="1F390619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color w:val="1B1C1D"/>
          <w:sz w:val="24"/>
          <w:szCs w:val="24"/>
          <w:lang w:val="en-US"/>
        </w:rPr>
      </w:pPr>
    </w:p>
    <w:p w14:paraId="69ABA952" w14:textId="77777777" w:rsidR="00F932A4" w:rsidRPr="009A047F" w:rsidRDefault="00F932A4" w:rsidP="00F932A4">
      <w:pPr>
        <w:pStyle w:val="12"/>
        <w:spacing w:after="160" w:line="275" w:lineRule="auto"/>
        <w:jc w:val="both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</w:pP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Tabelul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2: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Grila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Calcul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a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Cotizațiilor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Anuale</w:t>
      </w:r>
      <w:proofErr w:type="spellEnd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 xml:space="preserve"> de </w:t>
      </w:r>
      <w:proofErr w:type="spellStart"/>
      <w:r w:rsidRPr="009A047F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lang w:val="en-US"/>
        </w:rPr>
        <w:t>Funcționare</w:t>
      </w:r>
      <w:proofErr w:type="spellEnd"/>
    </w:p>
    <w:tbl>
      <w:tblPr>
        <w:tblW w:w="9360" w:type="dxa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F932A4" w:rsidRPr="0094442D" w14:paraId="3BF41A6F" w14:textId="77777777" w:rsidTr="00172C28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98BB07D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EFE955B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Criteriu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Calcul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Principiu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B4BE45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Cotizație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Anuală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Bază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Propunere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referință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)</w:t>
            </w:r>
          </w:p>
        </w:tc>
      </w:tr>
      <w:tr w:rsidR="00F932A4" w14:paraId="0F0CC9E4" w14:textId="77777777" w:rsidTr="00172C28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EA6E519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Autorități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Naționale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Regionale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Județ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Raion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/ District / Oblast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Ministere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AFC295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C88115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F932A4" w14:paraId="35BAD107" w14:textId="77777777" w:rsidTr="00172C28">
        <w:trPr>
          <w:cantSplit/>
          <w:trHeight w:val="1125"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A9D956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Autorități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Locale - Urbane Mari</w:t>
            </w:r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Municipii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reședință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Orașe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&gt; 50.000 loc.)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703AA36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2A597BB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F932A4" w14:paraId="1B4650F1" w14:textId="77777777" w:rsidTr="00172C28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F1C931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Autorități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Locale - Urbane Mici/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Rurale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Orașe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&lt; 50.000 loc.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Comune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Primării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8C039DE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3)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789DB0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F932A4" w14:paraId="72B3A4A4" w14:textId="77777777" w:rsidTr="00172C28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39BE585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Organisme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de Drept Public</w:t>
            </w:r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Universități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Agenții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Dezvoltare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en-US"/>
              </w:rPr>
              <w:t>, Spitale, Institute)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EC11375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4)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01437F6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F932A4" w14:paraId="296D22F1" w14:textId="77777777" w:rsidTr="00172C28">
        <w:trPr>
          <w:cantSplit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C02455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Asociații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Clustere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/ ONG-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uri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/ GAL-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uri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63EBB5B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5)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FA649E0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  <w:tr w:rsidR="00F932A4" w14:paraId="18A4196A" w14:textId="77777777" w:rsidTr="00172C28">
        <w:trPr>
          <w:cantSplit/>
          <w:trHeight w:val="738"/>
          <w:tblHeader/>
        </w:trPr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E24819" w14:textId="77777777" w:rsidR="00F932A4" w:rsidRPr="009A047F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</w:pP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Membri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Observatori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dacă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acceptă</w:t>
            </w:r>
            <w:proofErr w:type="spellEnd"/>
            <w:r w:rsidRPr="009A047F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en-US"/>
              </w:rPr>
              <w:t>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F4CB0A" w14:textId="77777777" w:rsidR="00F932A4" w:rsidRDefault="00F932A4" w:rsidP="00172C28">
            <w:pPr>
              <w:pStyle w:val="12"/>
              <w:spacing w:before="120" w:after="160" w:line="275" w:lineRule="auto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Sumă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fixă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Nivel</w:t>
            </w:r>
            <w:proofErr w:type="spellEnd"/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6)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B1DFDF3" w14:textId="77777777" w:rsidR="00F932A4" w:rsidRDefault="00F932A4" w:rsidP="00172C28">
            <w:pPr>
              <w:pStyle w:val="12"/>
              <w:spacing w:after="160"/>
              <w:jc w:val="both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</w:p>
        </w:tc>
      </w:tr>
    </w:tbl>
    <w:p w14:paraId="6A6FAB95" w14:textId="77777777" w:rsidR="00066786" w:rsidRDefault="00066786" w:rsidP="00F932A4">
      <w:pPr>
        <w:spacing w:line="360" w:lineRule="auto"/>
        <w:rPr>
          <w:sz w:val="28"/>
          <w:szCs w:val="28"/>
          <w:lang w:val="en-US"/>
        </w:rPr>
      </w:pPr>
    </w:p>
    <w:tbl>
      <w:tblPr>
        <w:tblW w:w="10193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0193"/>
      </w:tblGrid>
      <w:tr w:rsidR="00F932A4" w14:paraId="1C523781" w14:textId="77777777" w:rsidTr="00172C28">
        <w:trPr>
          <w:cantSplit/>
          <w:trHeight w:val="700"/>
          <w:tblHeader/>
        </w:trPr>
        <w:tc>
          <w:tcPr>
            <w:tcW w:w="10193" w:type="dxa"/>
            <w:vAlign w:val="center"/>
          </w:tcPr>
          <w:p w14:paraId="5916562F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right"/>
              <w:rPr>
                <w:bCs/>
                <w:i/>
                <w:sz w:val="20"/>
                <w:szCs w:val="20"/>
                <w:lang w:val="en-US"/>
              </w:rPr>
            </w:pPr>
            <w:proofErr w:type="spellStart"/>
            <w:r w:rsidRPr="00EF2D98">
              <w:rPr>
                <w:bCs/>
                <w:i/>
                <w:sz w:val="20"/>
                <w:szCs w:val="20"/>
                <w:lang w:val="en-US"/>
              </w:rPr>
              <w:lastRenderedPageBreak/>
              <w:t>Anexa</w:t>
            </w:r>
            <w:proofErr w:type="spellEnd"/>
            <w:r w:rsidRPr="00EF2D98">
              <w:rPr>
                <w:bCs/>
                <w:i/>
                <w:sz w:val="20"/>
                <w:szCs w:val="20"/>
                <w:lang w:val="en-US"/>
              </w:rPr>
              <w:t xml:space="preserve"> 3</w:t>
            </w:r>
          </w:p>
          <w:p w14:paraId="48F527DC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La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Decizia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Consiliului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raional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Rîșcani</w:t>
            </w:r>
            <w:proofErr w:type="spellEnd"/>
          </w:p>
          <w:p w14:paraId="0006F426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righ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Nr.____ din _______________2026</w:t>
            </w:r>
          </w:p>
          <w:p w14:paraId="25D10563" w14:textId="77777777" w:rsidR="00F932A4" w:rsidRPr="00EF2D98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right"/>
              <w:rPr>
                <w:bCs/>
                <w:sz w:val="20"/>
                <w:szCs w:val="20"/>
                <w:lang w:val="en-US"/>
              </w:rPr>
            </w:pPr>
          </w:p>
          <w:p w14:paraId="5EC8678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>Contract Nr.__</w:t>
            </w:r>
          </w:p>
          <w:p w14:paraId="493989B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achiziţia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</w:p>
          <w:p w14:paraId="3F6587E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351C6365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>I PARTEA GENERALĂ</w:t>
            </w:r>
          </w:p>
          <w:p w14:paraId="1D1DDA6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D51856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sz w:val="20"/>
                <w:szCs w:val="20"/>
                <w:lang w:val="en-US"/>
              </w:rPr>
              <w:t>Obiectul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consultanță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asistență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Secretariatului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Comitetului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Inițiativă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GECT „EAST GATE”</w:t>
            </w:r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asistență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juridică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constituirea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GECT)</w:t>
            </w:r>
          </w:p>
          <w:p w14:paraId="5B779948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Cod</w:t>
            </w:r>
            <w:proofErr w:type="spellEnd"/>
            <w:r>
              <w:rPr>
                <w:sz w:val="20"/>
                <w:szCs w:val="20"/>
              </w:rPr>
              <w:t xml:space="preserve"> CPV: 79110000-8</w:t>
            </w:r>
          </w:p>
          <w:p w14:paraId="16404955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ind w:right="63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proofErr w:type="spellStart"/>
            <w:r>
              <w:rPr>
                <w:sz w:val="20"/>
                <w:szCs w:val="20"/>
              </w:rPr>
              <w:t>Mun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Chișinău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</w:p>
          <w:p w14:paraId="3B4A041E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ind w:right="6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“__ ” _______________ 202</w:t>
            </w:r>
            <w:r>
              <w:rPr>
                <w:sz w:val="20"/>
                <w:szCs w:val="20"/>
                <w:lang w:val="ro-RO"/>
              </w:rPr>
              <w:t>6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</w:t>
            </w:r>
          </w:p>
          <w:p w14:paraId="218CBC41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</w:rPr>
            </w:pPr>
          </w:p>
          <w:tbl>
            <w:tblPr>
              <w:tblW w:w="9801" w:type="dxa"/>
              <w:tblLayout w:type="fixed"/>
              <w:tblLook w:val="0400" w:firstRow="0" w:lastRow="0" w:firstColumn="0" w:lastColumn="0" w:noHBand="0" w:noVBand="1"/>
            </w:tblPr>
            <w:tblGrid>
              <w:gridCol w:w="4900"/>
              <w:gridCol w:w="4901"/>
            </w:tblGrid>
            <w:tr w:rsidR="00F932A4" w14:paraId="4412F6AF" w14:textId="77777777" w:rsidTr="00172C28">
              <w:trPr>
                <w:cantSplit/>
                <w:trHeight w:val="569"/>
                <w:tblHeader/>
              </w:trPr>
              <w:tc>
                <w:tcPr>
                  <w:tcW w:w="4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1EDCC9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Furnizorul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Prestatorul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servicii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/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servicii</w:t>
                  </w:r>
                  <w:proofErr w:type="spellEnd"/>
                </w:p>
              </w:tc>
              <w:tc>
                <w:tcPr>
                  <w:tcW w:w="4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8D652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Autoritatea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contractantă</w:t>
                  </w:r>
                  <w:proofErr w:type="spellEnd"/>
                </w:p>
              </w:tc>
            </w:tr>
            <w:tr w:rsidR="00F932A4" w:rsidRPr="00EF2D98" w14:paraId="68FFAE9C" w14:textId="77777777" w:rsidTr="00172C28">
              <w:trPr>
                <w:cantSplit/>
                <w:trHeight w:val="2636"/>
                <w:tblHeader/>
              </w:trPr>
              <w:tc>
                <w:tcPr>
                  <w:tcW w:w="4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E6AD2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40A4CC90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“</w:t>
                  </w:r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Prim Lex-Consult” S.R.L</w:t>
                  </w: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.,  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reprezentată</w:t>
                  </w:r>
                  <w:proofErr w:type="spellEnd"/>
                </w:p>
                <w:p w14:paraId="0D4874BA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denumirea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completă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a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întreprinderii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asociaţiei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organizaţiei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  <w:p w14:paraId="2FB2B0D4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prin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Sergiu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Suharenco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- Director,</w:t>
                  </w:r>
                </w:p>
                <w:p w14:paraId="753683C3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ind w:firstLine="1701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funcţia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numele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prenumele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  <w:p w14:paraId="4769CC5F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care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acţionează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baza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Statut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___________,</w:t>
                  </w:r>
                </w:p>
                <w:p w14:paraId="40D22E28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statut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regulament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hotărâre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etc.)</w:t>
                  </w:r>
                </w:p>
                <w:p w14:paraId="5A417F9C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denumit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(a)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continuare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Furnizor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Prestator</w:t>
                  </w:r>
                  <w:proofErr w:type="spellEnd"/>
                </w:p>
                <w:p w14:paraId="1DC95DAA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______________,</w:t>
                  </w:r>
                </w:p>
                <w:p w14:paraId="511AFC01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indică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nr.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şi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data de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înregistrare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Registrul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de Stat)</w:t>
                  </w:r>
                </w:p>
                <w:p w14:paraId="13428384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de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o </w:t>
                  </w:r>
                  <w:proofErr w:type="spellStart"/>
                  <w:r>
                    <w:rPr>
                      <w:sz w:val="20"/>
                      <w:szCs w:val="20"/>
                    </w:rPr>
                    <w:t>parte</w:t>
                  </w:r>
                  <w:proofErr w:type="spellEnd"/>
                  <w:r>
                    <w:rPr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49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BC0790" w14:textId="77777777" w:rsidR="00F932A4" w:rsidRPr="00EF2D98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3D7B0A63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Consiliul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raional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Rîșcani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,</w:t>
                  </w:r>
                </w:p>
                <w:p w14:paraId="344A412C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denumirea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completă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a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întreprinderii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asociaţiei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organizaţiei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  <w:p w14:paraId="1FB2FA38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reprezentată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prin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Preșe</w:t>
                  </w:r>
                  <w:r>
                    <w:rPr>
                      <w:sz w:val="20"/>
                      <w:szCs w:val="20"/>
                      <w:lang w:val="en-US"/>
                    </w:rPr>
                    <w:t>dintele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raionului,Domnul</w:t>
                  </w:r>
                  <w:proofErr w:type="spellEnd"/>
                  <w:r>
                    <w:rPr>
                      <w:sz w:val="20"/>
                      <w:szCs w:val="20"/>
                      <w:lang w:val="en-US"/>
                    </w:rPr>
                    <w:t xml:space="preserve"> Vladimir </w:t>
                  </w:r>
                  <w:proofErr w:type="spellStart"/>
                  <w:r>
                    <w:rPr>
                      <w:sz w:val="20"/>
                      <w:szCs w:val="20"/>
                      <w:lang w:val="en-US"/>
                    </w:rPr>
                    <w:t>Mizdrenco</w:t>
                  </w:r>
                  <w:proofErr w:type="spellEnd"/>
                </w:p>
                <w:p w14:paraId="303609E4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ind w:firstLine="1701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funcţia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numele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prenumele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)</w:t>
                  </w:r>
                </w:p>
                <w:p w14:paraId="2426379D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care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acţionează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baza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Hotărârii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___________,</w:t>
                  </w:r>
                </w:p>
                <w:p w14:paraId="693035F5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statut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regulament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hotărâre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etc.)</w:t>
                  </w:r>
                </w:p>
                <w:p w14:paraId="7992F37C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denumit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(a)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continuare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Cumpărător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Beneficiar</w:t>
                  </w:r>
                  <w:proofErr w:type="spellEnd"/>
                </w:p>
                <w:p w14:paraId="1593C314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_____________________________________,</w:t>
                  </w:r>
                </w:p>
                <w:p w14:paraId="60AF8073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indică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nr.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şi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data de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înregistrare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în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Registrul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de Stat)</w:t>
                  </w:r>
                </w:p>
                <w:p w14:paraId="47DF9FBB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spacing w:line="360" w:lineRule="auto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pe de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altă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parte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>,</w:t>
                  </w:r>
                </w:p>
              </w:tc>
            </w:tr>
          </w:tbl>
          <w:p w14:paraId="33DA832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0E6E30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  </w:t>
            </w:r>
          </w:p>
          <w:p w14:paraId="14A1998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sz w:val="20"/>
                <w:szCs w:val="20"/>
                <w:lang w:val="en-US"/>
              </w:rPr>
              <w:t>ambii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denumiţi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continuare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),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încheiat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referitor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următoarele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168AC8A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540598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Achiziţionarea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consultanţă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reprezentare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denumite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continuare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procedurii</w:t>
            </w:r>
            <w:proofErr w:type="spellEnd"/>
          </w:p>
          <w:p w14:paraId="70B765F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                                             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denumirea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bunului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)</w:t>
            </w:r>
          </w:p>
          <w:p w14:paraId="46D05B80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publice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tip Contract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nr. __ din _____,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deciziei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grupului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lucru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_________.</w:t>
            </w:r>
          </w:p>
          <w:p w14:paraId="4253072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646523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Următoarele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documente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considerate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componente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52CCC2C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1459FC8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Specificația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preț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5B38A605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c.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discrepanţe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inconsecvenţe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documentele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componente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documentele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avea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ordinea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prioritate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enumerată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mai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sus.</w:t>
            </w:r>
          </w:p>
          <w:p w14:paraId="274600C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d.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contravaloare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plăţilor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urmează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înlăture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defectele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lor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sub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toate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aspectele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4397DE6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e.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BENEFICIAR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timp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5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calendaristice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momentul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emiterii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facturii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fiscale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PRESTATOR.</w:t>
            </w:r>
          </w:p>
          <w:p w14:paraId="343B092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57DAF5C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Obiectul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Contractului</w:t>
            </w:r>
            <w:proofErr w:type="spellEnd"/>
          </w:p>
          <w:p w14:paraId="0614DB7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asumă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asistență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juridică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administrativă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acționând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ca Secretariat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Comitetului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Inițiativă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finalizarea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constituire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înregistrare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a GECT „EAST GATE”</w:t>
            </w:r>
            <w:r w:rsidRPr="002C4061">
              <w:rPr>
                <w:sz w:val="20"/>
                <w:szCs w:val="20"/>
                <w:lang w:val="en-US"/>
              </w:rPr>
              <w:t xml:space="preserve"> conform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integrantă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Contract. </w:t>
            </w:r>
          </w:p>
          <w:p w14:paraId="6934593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rândul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de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</w:p>
          <w:p w14:paraId="184E9B6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1.3.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atestă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certificatele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</w:p>
          <w:p w14:paraId="1AAC4F6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1.4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standardele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</w:p>
          <w:p w14:paraId="5F6FEB5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3A4C4F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Termeni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condiţii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livrare</w:t>
            </w:r>
            <w:proofErr w:type="spellEnd"/>
          </w:p>
          <w:p w14:paraId="43253FC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2.1.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efectuează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termenele</w:t>
            </w:r>
            <w:proofErr w:type="spellEnd"/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graficul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070D6FEC" w14:textId="77777777" w:rsidR="00F932A4" w:rsidRPr="002C4061" w:rsidRDefault="00F932A4" w:rsidP="00172C28">
            <w:pPr>
              <w:pStyle w:val="12"/>
              <w:ind w:left="-5" w:right="14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2.2.        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încheiat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pe un termen  de 24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luni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până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finalizarea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etapelor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perioadelor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graficul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plăți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Program.</w:t>
            </w:r>
          </w:p>
          <w:p w14:paraId="298B590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1E3F08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090779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Preţul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condiţii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plată</w:t>
            </w:r>
            <w:proofErr w:type="spellEnd"/>
          </w:p>
          <w:p w14:paraId="4147B27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Preţul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conform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EURO,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indicată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Contract.</w:t>
            </w:r>
          </w:p>
          <w:p w14:paraId="76957EC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3.2.</w:t>
            </w:r>
            <w:r w:rsidRPr="002C4061">
              <w:rPr>
                <w:sz w:val="20"/>
                <w:szCs w:val="20"/>
                <w:lang w:val="en-US"/>
              </w:rPr>
              <w:tab/>
              <w:t xml:space="preserve">Suma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totală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stabileşte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EURO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constituie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: 820,00 (opt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douăzeci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euro),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fără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TVA.                    </w:t>
            </w:r>
          </w:p>
          <w:p w14:paraId="602E7D6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plăţilor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lei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moldoveneşti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cursului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BNM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ziua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emiterii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facturii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728DA6D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Metoda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condiţiile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fi: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virament</w:t>
            </w:r>
            <w:proofErr w:type="spellEnd"/>
          </w:p>
          <w:p w14:paraId="3F47734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3.5.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Plăţile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transfer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bancar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decontare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 Furnizorului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indicat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Contract.</w:t>
            </w:r>
          </w:p>
          <w:p w14:paraId="331F5D7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555167C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Condiţii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predare-primire</w:t>
            </w:r>
            <w:proofErr w:type="spellEnd"/>
          </w:p>
          <w:p w14:paraId="2F08584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4.1.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consideră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predate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6E2F5AB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cantitatea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corespunde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informaţiei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Lista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graficul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documentele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însoţire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punctului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2.2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Contract;</w:t>
            </w:r>
          </w:p>
          <w:p w14:paraId="29B8A7F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corespunde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informaţiei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2C10046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c)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integritatea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corespunde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informaţiei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Specificaţie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7D857ED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4.2.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prezinte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 exemplar original </w:t>
            </w:r>
            <w:proofErr w:type="gramStart"/>
            <w:r w:rsidRPr="002C4061">
              <w:rPr>
                <w:sz w:val="20"/>
                <w:szCs w:val="20"/>
                <w:lang w:val="en-US"/>
              </w:rPr>
              <w:t xml:space="preserve">al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facturii</w:t>
            </w:r>
            <w:proofErr w:type="spellEnd"/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fiscale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odată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nerespectarea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clauze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rezervă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majora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punctul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3.4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corespunzător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numărului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întîrziere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exonerat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penalităţii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punctul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10.3.</w:t>
            </w:r>
          </w:p>
          <w:p w14:paraId="055FEA6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BAF50D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5.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Standarde</w:t>
            </w:r>
            <w:proofErr w:type="spellEnd"/>
          </w:p>
          <w:p w14:paraId="1FBD64D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5.1.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standardele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propunerea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3FD2FF1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5.2.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Cînd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menţionat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nici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 standard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reglementare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aplicabilă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standardele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reglementări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autorizate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ţara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origine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1C913E3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B0DBA6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6.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Obligaţiile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părţilor</w:t>
            </w:r>
            <w:proofErr w:type="spellEnd"/>
          </w:p>
          <w:p w14:paraId="28B4A7C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6.1.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35957D7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condiţiile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Contract;</w:t>
            </w:r>
          </w:p>
          <w:p w14:paraId="42FC42C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anunţe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după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decurs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3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calendaristice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telefon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/fax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mijloace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electronice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disponibilitatea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629BD89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c)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asigure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condiţiile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corespunzătoare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corespundere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cerinţele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Contract;</w:t>
            </w:r>
          </w:p>
          <w:p w14:paraId="0FD0E715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d)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asigure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integritatea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toată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perioada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până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lor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5C3DDC6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6.2.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4C3C679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întreprindă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toate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măsurile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necesare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corespundere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cerinţele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Contract;</w:t>
            </w:r>
          </w:p>
          <w:p w14:paraId="445E79A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asigure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respectînd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modalităţile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indicate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Contract.</w:t>
            </w:r>
          </w:p>
          <w:p w14:paraId="776DA9D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518D94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7.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Circumstanțe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contractului</w:t>
            </w:r>
            <w:proofErr w:type="spellEnd"/>
          </w:p>
          <w:p w14:paraId="655503C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7.1.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sunt exonerate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răspundere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neîndeplinirea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parţială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integrală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C4061">
              <w:rPr>
                <w:sz w:val="20"/>
                <w:szCs w:val="20"/>
                <w:lang w:val="en-US"/>
              </w:rPr>
              <w:t>a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obligaţiilor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aceasta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cauzată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producerea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circumstanțe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războaie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calamităţi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naturale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incendii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inundaţii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cutremure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pămînt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nu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depind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voinţa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).</w:t>
            </w:r>
          </w:p>
          <w:p w14:paraId="097E30C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7.2.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invocă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clauza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circumstanțelor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informeze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imediat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mai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tîrziu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10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cealaltă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survenirea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circumstanţelor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4922DD9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7.3.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Survenirea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circumstanţelor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momentul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declanşării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acţiune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trebuie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confirmate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printr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-un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aviz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atestare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eliberat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mod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corespunzător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organul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competent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ţara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invocă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asemenea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599C081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7.4    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circumstanțele</w:t>
            </w:r>
            <w:proofErr w:type="spellEnd"/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neexecutarea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adițional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executări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ulterioare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Când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execută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pct.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7.1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pct. 7.3,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părțile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adițional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neîndeplinerea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parțială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integrală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obligațiunilor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suspendării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ulterioare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51EFBF4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58943C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8.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Rezoluțiunea</w:t>
            </w:r>
            <w:proofErr w:type="spellEnd"/>
          </w:p>
          <w:p w14:paraId="2DFB273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8.1.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Rezoluțiunea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realiza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comun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171BC8F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8.2.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rezolvit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mod unilateral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1FFA563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refuz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 Furnizorului de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Contract;         </w:t>
            </w:r>
          </w:p>
          <w:p w14:paraId="61CB7B8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nerespectare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564F300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c)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nerespectare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36F16C2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d)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nesatisfacere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dintre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pretenţiilor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înaintate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Contract.</w:t>
            </w:r>
          </w:p>
          <w:p w14:paraId="66CF138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8.3    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rezolvi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unilateral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perioada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valabilitate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acestuia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dintre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următoarele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situaţii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312DB39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afla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momentul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atribuirii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dintre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situaţiile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determinat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excluderea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procedura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atribuire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potrivit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art. 19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nr.131/2015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publice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415021A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b)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făcut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obiectul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modificări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substanțiale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necesita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nouă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procedură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publică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art. 76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nr.131/2015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publice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;</w:t>
            </w:r>
          </w:p>
          <w:p w14:paraId="3A28673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trebuit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atribuit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respectiv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avînd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vedere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încălcare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gravă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obligaţiilor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rezultă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nr.131/2015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achizițiile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publice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tratatele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internaţionale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Republica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Moldova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care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constatată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printr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-o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decizie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instanțe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judecătorești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naționale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după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internaționale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3B0CE83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8.4.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iniţiatoare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rezoluțiunii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comunice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termen de 3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lucrătoare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celeilalte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intenţiile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printr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-o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scrisoare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motivată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7934B4F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8.5.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înştiinţată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răspundă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decurs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3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lucrătoare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primirea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notificării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litigiul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soluţionat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iniţiatoare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iniția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rezoluțiunea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760FF3D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5D09BC3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Reclamaţii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59859C3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Reclamaţiile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cantitatea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înaintate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Furnizorului/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momentul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recepţionării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lor,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confirmate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printr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-un 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întocmit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comun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reprezentantul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Furnizorului/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75C6997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Pretenţiile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înaintate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Furnizorului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termen de 30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depistarea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deficienţelor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trebuie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confirmate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printr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-un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certificat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eliberat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organizaţie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independentă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neutră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autorizată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sens.</w:t>
            </w:r>
            <w:proofErr w:type="spellEnd"/>
          </w:p>
          <w:p w14:paraId="5EFB0A0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examineze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pretenţiile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înaintate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termen de 30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data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primirii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acestora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comunice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decizia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5FBCA29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recunoaştere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pretenţiilor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termen de 30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suplimentar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cantitatea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nelivrată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constatare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calităţii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necorespunzătoare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substituie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corecteze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cerinţele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</w:p>
          <w:p w14:paraId="62B6FC0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9.5.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poartă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răspundere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limitele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stabilite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inclusiv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ascunse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20EEC18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9.6.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devierii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confirmată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certificatul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întocmit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organizaţia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independentă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neutră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autorizată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sens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cheltuielile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staţionare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întîrziere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sunt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suportate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partea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vinovată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02841C7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214587D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10.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Sancţiuni</w:t>
            </w:r>
            <w:proofErr w:type="spellEnd"/>
          </w:p>
          <w:p w14:paraId="0379A8F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10.1.</w:t>
            </w:r>
            <w:r w:rsidRPr="002C4061">
              <w:rPr>
                <w:sz w:val="20"/>
                <w:szCs w:val="20"/>
                <w:lang w:val="en-US"/>
              </w:rPr>
              <w:tab/>
              <w:t xml:space="preserve">Forma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garanţie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agreată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aplică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cuantum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__%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valoarea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</w:p>
          <w:p w14:paraId="6D54C6E0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10.2.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refuzul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vinde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Contract,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reține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garanţia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constituită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prevedrile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punctului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10.1.,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suportă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penalitate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 0,1 % 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suma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totală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685E7ED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10.3.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poartă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plata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despăgubirei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0,1%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suma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neprestate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depășește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30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prezintă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explicație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formă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scrisă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acceptă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prelungește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valabilitate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garanției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consideră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fiind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refuz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Furnizorului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reține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garanţia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executare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constituită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pct.10.1.</w:t>
            </w:r>
          </w:p>
          <w:p w14:paraId="0C3463C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10.4.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poartă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plata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despăgubirei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0,1 </w:t>
            </w:r>
            <w:proofErr w:type="gramStart"/>
            <w:r w:rsidRPr="002C4061">
              <w:rPr>
                <w:sz w:val="20"/>
                <w:szCs w:val="20"/>
                <w:lang w:val="en-US"/>
              </w:rPr>
              <w:t>%  din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suma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neachitate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50E5B90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10.5. Prima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lucrătoare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ulterioară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datei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constituie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limită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precum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limită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achitare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consideră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zi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lucrătoare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întârziere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</w:p>
          <w:p w14:paraId="17F8A15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10.6. Suma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penalităţii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calculate Furnizorului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poate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dedusă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reţinută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)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suma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plăţii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Serviciile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3852E90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5FC2FB5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>11.</w:t>
            </w:r>
            <w:r w:rsidRPr="002C4061">
              <w:rPr>
                <w:b/>
                <w:bCs/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Drepturi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proprietate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intelectuală</w:t>
            </w:r>
            <w:proofErr w:type="spellEnd"/>
          </w:p>
          <w:p w14:paraId="56307F0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11.1.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despăgubească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achizitorul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împotriva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oricăror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:</w:t>
            </w:r>
          </w:p>
          <w:p w14:paraId="1D874F79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a)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reclamaţii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acţiuni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justiţie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rezultă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încălcarea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proprietate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intelectuală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brevete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nume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mărci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înregistrate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etc.), legate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echipamentele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materialele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instalaţiile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utilajele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folosite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legătură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produsele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achiziţionate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</w:p>
          <w:p w14:paraId="6B00937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b)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daune-interese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costuri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taxe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cheltuieli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orice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natură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aferente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excepţia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situaţiei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astfel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încălcare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rezultă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Caietului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sarcini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întocmit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achizitor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102568F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6396D0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Dispoziţii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finale</w:t>
            </w:r>
          </w:p>
          <w:p w14:paraId="64188B7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12.1.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Litigiile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putea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rezulta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soluţionate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amiabilă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transmise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examinare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instanţa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judecată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competentă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legislaţiei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Republicii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Moldova.</w:t>
            </w:r>
          </w:p>
          <w:p w14:paraId="1CAA6F7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12.2.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contractante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durata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îndeplinirii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convină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asupra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clauzelor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adiţional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numai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apariţiei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circumstanţe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lezează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interesele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comerciale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legitime ale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acestora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nu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putut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data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încheierii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Modificările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completările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sînt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valabile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numai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perfectate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scris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fost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ambele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.  </w:t>
            </w:r>
          </w:p>
          <w:p w14:paraId="5182833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12.3.</w:t>
            </w:r>
            <w:r w:rsidRPr="002C4061">
              <w:rPr>
                <w:sz w:val="20"/>
                <w:szCs w:val="20"/>
                <w:lang w:val="en-US"/>
              </w:rPr>
              <w:tab/>
              <w:t xml:space="preserve">Nici una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dintre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transmită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obligaţiile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drepturile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sale stipulate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terţe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fără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scris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celeilalte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16F0B92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12.4.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electronic,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ambele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părți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remis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mod automat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mijloacele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electronice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când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olografic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C4061">
              <w:rPr>
                <w:sz w:val="20"/>
                <w:szCs w:val="20"/>
                <w:lang w:val="en-US"/>
              </w:rPr>
              <w:t xml:space="preserve">se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întocmește</w:t>
            </w:r>
            <w:proofErr w:type="spellEnd"/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două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exemplare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limba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română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câte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 exemplar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Furnizor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Cumpărător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2BFC2E1E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12.5.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consideră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încheiat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data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data </w:t>
            </w:r>
            <w:proofErr w:type="spellStart"/>
            <w:proofErr w:type="gramStart"/>
            <w:r w:rsidRPr="002C4061">
              <w:rPr>
                <w:sz w:val="20"/>
                <w:szCs w:val="20"/>
                <w:lang w:val="en-US"/>
              </w:rPr>
              <w:t>înregistrării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 la</w:t>
            </w:r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una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trezoreriile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regionale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Ministerului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Finanțelor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sursele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alocă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bugetul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stat/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bugetul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local,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data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o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altă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dată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ulterioară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indicată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acest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gestionarea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surselor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nu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efectuează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intermediul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sistemului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trezorerial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0481EEA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12.6.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valabil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pe un termen  de 24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luni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până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finalizarea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etapelor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graficului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livrare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fi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agreat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comun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07ADF1B0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12.7.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reprezintă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acordul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voinţă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2C4061">
              <w:rPr>
                <w:sz w:val="20"/>
                <w:szCs w:val="20"/>
                <w:lang w:val="en-US"/>
              </w:rPr>
              <w:t xml:space="preserve">al 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părţilor</w:t>
            </w:r>
            <w:proofErr w:type="spellEnd"/>
            <w:proofErr w:type="gram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şi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consideră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data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aplicării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ultimei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semnături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una din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părți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>.</w:t>
            </w:r>
          </w:p>
          <w:p w14:paraId="371D9F1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>12.8.</w:t>
            </w:r>
            <w:r w:rsidRPr="002C4061">
              <w:rPr>
                <w:sz w:val="20"/>
                <w:szCs w:val="20"/>
                <w:lang w:val="en-US"/>
              </w:rPr>
              <w:tab/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confirmarea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menţionate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mai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sus,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Părţile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au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semnat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prezentul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Contract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legislaţia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Republicii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Moldova.</w:t>
            </w:r>
          </w:p>
          <w:p w14:paraId="066C168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>RECHIZITELE JURIDICE, POŞTALE ŞI DE PLĂŢI ALE PĂRŢILOR</w:t>
            </w:r>
          </w:p>
          <w:p w14:paraId="7BA8501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  <w:tab w:val="left" w:pos="2685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W w:w="10110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173"/>
              <w:gridCol w:w="4937"/>
            </w:tblGrid>
            <w:tr w:rsidR="00F932A4" w14:paraId="75CFFC30" w14:textId="77777777" w:rsidTr="00172C28">
              <w:trPr>
                <w:cantSplit/>
                <w:trHeight w:val="468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148A06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3295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Prestatorul</w:t>
                  </w:r>
                  <w:proofErr w:type="spellEnd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 de </w:t>
                  </w:r>
                  <w:proofErr w:type="spellStart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servicii</w:t>
                  </w:r>
                  <w:proofErr w:type="spellEnd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14:paraId="45FFC6BF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3295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„Prim Lex-Consult” SRL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85A92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3295"/>
                    </w:tabs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Beneficiarul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24373A9A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3295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Primăria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932A4" w14:paraId="62A826F2" w14:textId="77777777" w:rsidTr="00172C28">
              <w:trPr>
                <w:cantSplit/>
                <w:trHeight w:val="22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0AA567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Adresa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poştală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: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mun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Chișinău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sz w:val="20"/>
                      <w:szCs w:val="20"/>
                    </w:rPr>
                    <w:t>București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36/2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78281F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Adresa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poştală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932A4" w14:paraId="1520D549" w14:textId="77777777" w:rsidTr="00172C28">
              <w:trPr>
                <w:cantSplit/>
                <w:trHeight w:val="23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7EAEB27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e-mail: </w:t>
                  </w:r>
                  <w:hyperlink r:id="rId6">
                    <w:r w:rsidRPr="002C4061">
                      <w:rPr>
                        <w:color w:val="1155CC"/>
                        <w:sz w:val="20"/>
                        <w:szCs w:val="20"/>
                        <w:u w:val="single"/>
                        <w:lang w:val="en-US"/>
                      </w:rPr>
                      <w:t>office@primlexconsult.md</w:t>
                    </w:r>
                  </w:hyperlink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A4C1DD2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Telefon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932A4" w14:paraId="11F5DB6F" w14:textId="77777777" w:rsidTr="00172C28">
              <w:trPr>
                <w:cantSplit/>
                <w:trHeight w:val="23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A31CC0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Cod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fiscal</w:t>
                  </w:r>
                  <w:proofErr w:type="spellEnd"/>
                  <w:r>
                    <w:rPr>
                      <w:sz w:val="20"/>
                      <w:szCs w:val="20"/>
                    </w:rPr>
                    <w:t>: 1016600015358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92B350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Cod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fiscal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932A4" w14:paraId="11E5B26C" w14:textId="77777777" w:rsidTr="00172C28">
              <w:trPr>
                <w:cantSplit/>
                <w:trHeight w:val="23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EFDCDC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Banca: BC </w:t>
                  </w: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Victoriabank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S.A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FF8ABDA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Banca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932A4" w14:paraId="30779EB5" w14:textId="77777777" w:rsidTr="00172C28">
              <w:trPr>
                <w:cantSplit/>
                <w:trHeight w:val="23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FAA61D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Cod</w:t>
                  </w:r>
                  <w:proofErr w:type="spellEnd"/>
                  <w:r>
                    <w:rPr>
                      <w:sz w:val="20"/>
                      <w:szCs w:val="20"/>
                    </w:rPr>
                    <w:t>: VICBMD2X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1C367F3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Cod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932A4" w14:paraId="34C47AEE" w14:textId="77777777" w:rsidTr="00172C28">
              <w:trPr>
                <w:cantSplit/>
                <w:trHeight w:val="224"/>
                <w:tblHeader/>
                <w:jc w:val="center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105FE4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IBAN: MD91VI022512600001510MDL</w:t>
                  </w:r>
                </w:p>
              </w:tc>
              <w:tc>
                <w:tcPr>
                  <w:tcW w:w="49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3B9B60" w14:textId="77777777" w:rsidR="00F932A4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  <w:tab w:val="left" w:pos="1134"/>
                      <w:tab w:val="left" w:pos="4680"/>
                      <w:tab w:val="left" w:pos="7020"/>
                    </w:tabs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IBAN: </w:t>
                  </w:r>
                </w:p>
              </w:tc>
            </w:tr>
          </w:tbl>
          <w:p w14:paraId="70ACDA1E" w14:textId="77777777" w:rsidR="00F932A4" w:rsidRDefault="00F932A4" w:rsidP="00172C28">
            <w:pPr>
              <w:pStyle w:val="12"/>
              <w:spacing w:after="240" w:line="249" w:lineRule="auto"/>
              <w:rPr>
                <w:b/>
                <w:bCs/>
                <w:sz w:val="20"/>
                <w:szCs w:val="20"/>
              </w:rPr>
            </w:pPr>
          </w:p>
          <w:tbl>
            <w:tblPr>
              <w:tblW w:w="99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983"/>
              <w:gridCol w:w="4984"/>
            </w:tblGrid>
            <w:tr w:rsidR="00F932A4" w:rsidRPr="00EF2D98" w14:paraId="552E46F4" w14:textId="77777777" w:rsidTr="00172C28">
              <w:trPr>
                <w:cantSplit/>
                <w:trHeight w:val="1619"/>
                <w:tblHeader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8B30D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4439C0D4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Administrator: Sergiu </w:t>
                  </w:r>
                  <w:proofErr w:type="spellStart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Suharenco</w:t>
                  </w:r>
                  <w:proofErr w:type="spellEnd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14:paraId="76A76D50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jc w:val="both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10199046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Semnătura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/_______________________/</w:t>
                  </w:r>
                </w:p>
                <w:p w14:paraId="3FC08ACC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589984E2" w14:textId="77777777" w:rsidR="00F932A4" w:rsidRPr="002C4061" w:rsidRDefault="00F932A4" w:rsidP="00172C28">
                  <w:pPr>
                    <w:pStyle w:val="12"/>
                    <w:tabs>
                      <w:tab w:val="left" w:pos="426"/>
                    </w:tabs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L.Ş.</w:t>
                  </w:r>
                </w:p>
                <w:p w14:paraId="148BA49A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9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365AE5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5C49F0CF" w14:textId="77777777" w:rsidR="00F932A4" w:rsidRPr="002C4061" w:rsidRDefault="00F932A4" w:rsidP="00172C28">
                  <w:pPr>
                    <w:pStyle w:val="12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Primar/</w:t>
                  </w:r>
                  <w:proofErr w:type="spellStart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Președinte</w:t>
                  </w:r>
                  <w:proofErr w:type="spellEnd"/>
                  <w:r w:rsidRPr="002C4061">
                    <w:rPr>
                      <w:b/>
                      <w:bCs/>
                      <w:sz w:val="20"/>
                      <w:szCs w:val="20"/>
                      <w:lang w:val="en-US"/>
                    </w:rPr>
                    <w:t>/Director</w:t>
                  </w:r>
                </w:p>
                <w:p w14:paraId="1BA82B70" w14:textId="77777777" w:rsidR="00F932A4" w:rsidRPr="002C4061" w:rsidRDefault="00F932A4" w:rsidP="00172C28">
                  <w:pPr>
                    <w:pStyle w:val="12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1D97334B" w14:textId="77777777" w:rsidR="00F932A4" w:rsidRPr="002C4061" w:rsidRDefault="00F932A4" w:rsidP="00172C28">
                  <w:pPr>
                    <w:pStyle w:val="12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proofErr w:type="spellStart"/>
                  <w:r w:rsidRPr="002C4061">
                    <w:rPr>
                      <w:sz w:val="20"/>
                      <w:szCs w:val="20"/>
                      <w:lang w:val="en-US"/>
                    </w:rPr>
                    <w:t>Semnătura</w:t>
                  </w:r>
                  <w:proofErr w:type="spellEnd"/>
                  <w:r w:rsidRPr="002C4061">
                    <w:rPr>
                      <w:sz w:val="20"/>
                      <w:szCs w:val="20"/>
                      <w:lang w:val="en-US"/>
                    </w:rPr>
                    <w:t xml:space="preserve"> /_______________________/</w:t>
                  </w:r>
                </w:p>
                <w:p w14:paraId="4C978249" w14:textId="77777777" w:rsidR="00F932A4" w:rsidRPr="002C4061" w:rsidRDefault="00F932A4" w:rsidP="00172C28">
                  <w:pPr>
                    <w:pStyle w:val="12"/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  <w:p w14:paraId="6B6E13A4" w14:textId="77777777" w:rsidR="00F932A4" w:rsidRPr="002C4061" w:rsidRDefault="00F932A4" w:rsidP="00172C28">
                  <w:pPr>
                    <w:pStyle w:val="12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2C4061">
                    <w:rPr>
                      <w:sz w:val="20"/>
                      <w:szCs w:val="20"/>
                      <w:lang w:val="en-US"/>
                    </w:rPr>
                    <w:t>L.Ș</w:t>
                  </w:r>
                </w:p>
                <w:p w14:paraId="78F474B5" w14:textId="77777777" w:rsidR="00F932A4" w:rsidRPr="002C4061" w:rsidRDefault="00F932A4" w:rsidP="00172C28">
                  <w:pPr>
                    <w:pStyle w:val="12"/>
                    <w:tabs>
                      <w:tab w:val="left" w:pos="-9923"/>
                      <w:tab w:val="right" w:pos="0"/>
                      <w:tab w:val="left" w:pos="709"/>
                      <w:tab w:val="left" w:pos="950"/>
                    </w:tabs>
                    <w:jc w:val="both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B64DA9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72234B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64DE98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605136C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BC6EA3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2914A4A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7FDCF5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F07542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5734546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D97C7F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2DF3DE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195775DB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B51145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086603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3E26F00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6D4388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68895FD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0EEDEC2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6E475C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586D05F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FF4AE97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68DACE2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2D231B83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36E341A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475ADEC4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0420CE0A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  <w:lang w:val="en-US"/>
              </w:rPr>
            </w:pPr>
          </w:p>
          <w:p w14:paraId="798CF806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3013E655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067810F1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472E9AA8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61F00635" w14:textId="77777777" w:rsidR="00F932A4" w:rsidRPr="002C4061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  <w:p w14:paraId="502AFDAA" w14:textId="77777777" w:rsidR="00F932A4" w:rsidRDefault="00F932A4" w:rsidP="00172C28">
            <w:pPr>
              <w:pStyle w:val="12"/>
              <w:tabs>
                <w:tab w:val="left" w:pos="-9923"/>
                <w:tab w:val="right" w:pos="0"/>
                <w:tab w:val="left" w:pos="709"/>
                <w:tab w:val="left" w:pos="950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Anexa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nr.1 </w:t>
            </w:r>
            <w:proofErr w:type="spellStart"/>
            <w:r>
              <w:rPr>
                <w:b/>
                <w:bCs/>
                <w:sz w:val="20"/>
                <w:szCs w:val="20"/>
              </w:rPr>
              <w:t>Specificații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Tehnice</w:t>
            </w:r>
            <w:proofErr w:type="spellEnd"/>
          </w:p>
        </w:tc>
      </w:tr>
    </w:tbl>
    <w:p w14:paraId="1928140D" w14:textId="77777777" w:rsidR="00F932A4" w:rsidRDefault="00F932A4" w:rsidP="00F932A4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pPr w:vertAnchor="page" w:horzAnchor="margin" w:tblpXSpec="center" w:tblpY="2026"/>
        <w:tblW w:w="10615" w:type="dxa"/>
        <w:tblLayout w:type="fixed"/>
        <w:tblLook w:val="0400" w:firstRow="0" w:lastRow="0" w:firstColumn="0" w:lastColumn="0" w:noHBand="0" w:noVBand="1"/>
      </w:tblPr>
      <w:tblGrid>
        <w:gridCol w:w="2309"/>
        <w:gridCol w:w="1286"/>
        <w:gridCol w:w="987"/>
        <w:gridCol w:w="781"/>
        <w:gridCol w:w="1540"/>
        <w:gridCol w:w="2935"/>
        <w:gridCol w:w="777"/>
      </w:tblGrid>
      <w:tr w:rsidR="00F932A4" w:rsidRPr="00EF2D98" w14:paraId="234A48F0" w14:textId="77777777" w:rsidTr="00172C28">
        <w:trPr>
          <w:cantSplit/>
          <w:trHeight w:val="1626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F570" w14:textId="77777777" w:rsidR="00F932A4" w:rsidRDefault="00F932A4" w:rsidP="00172C28">
            <w:pPr>
              <w:pStyle w:val="12"/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Denumirea</w:t>
            </w:r>
            <w:proofErr w:type="spellEnd"/>
          </w:p>
          <w:p w14:paraId="60F5A4CC" w14:textId="77777777" w:rsidR="00F932A4" w:rsidRDefault="00F932A4" w:rsidP="00172C28">
            <w:pPr>
              <w:pStyle w:val="12"/>
              <w:spacing w:line="259" w:lineRule="auto"/>
              <w:ind w:right="4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bunurilor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serviciilor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2184" w14:textId="77777777" w:rsidR="00F932A4" w:rsidRPr="002C4061" w:rsidRDefault="00F932A4" w:rsidP="00172C28">
            <w:pPr>
              <w:pStyle w:val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Denumir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ea</w:t>
            </w:r>
            <w:proofErr w:type="spellEnd"/>
          </w:p>
          <w:p w14:paraId="47D2A503" w14:textId="77777777" w:rsidR="00F932A4" w:rsidRPr="002C4061" w:rsidRDefault="00F932A4" w:rsidP="00172C28">
            <w:pPr>
              <w:pStyle w:val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modelulu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i</w:t>
            </w:r>
            <w:proofErr w:type="spellEnd"/>
          </w:p>
          <w:p w14:paraId="771138AE" w14:textId="77777777" w:rsidR="00F932A4" w:rsidRPr="002C4061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bunului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/s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erviciului</w:t>
            </w:r>
            <w:proofErr w:type="spell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6E2F" w14:textId="77777777" w:rsidR="00F932A4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Ţara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origine</w:t>
            </w:r>
            <w:proofErr w:type="spellEnd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EE65" w14:textId="77777777" w:rsidR="00F932A4" w:rsidRDefault="00F932A4" w:rsidP="00172C28">
            <w:pPr>
              <w:pStyle w:val="1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Prod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u-</w:t>
            </w:r>
          </w:p>
          <w:p w14:paraId="6E31730D" w14:textId="77777777" w:rsidR="00F932A4" w:rsidRDefault="00F932A4" w:rsidP="00172C28">
            <w:pPr>
              <w:pStyle w:val="12"/>
              <w:spacing w:line="259" w:lineRule="auto"/>
              <w:ind w:left="32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cător</w:t>
            </w:r>
            <w:proofErr w:type="spellEnd"/>
          </w:p>
          <w:p w14:paraId="7A17BC2B" w14:textId="77777777" w:rsidR="00F932A4" w:rsidRDefault="00F932A4" w:rsidP="00172C28">
            <w:pPr>
              <w:pStyle w:val="12"/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ul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C6F6" w14:textId="77777777" w:rsidR="00F932A4" w:rsidRPr="002C4061" w:rsidRDefault="00F932A4" w:rsidP="00172C28">
            <w:pPr>
              <w:pStyle w:val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Specificarea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deplină</w:t>
            </w:r>
            <w:proofErr w:type="spellEnd"/>
          </w:p>
          <w:p w14:paraId="7BCFC99E" w14:textId="77777777" w:rsidR="00F932A4" w:rsidRPr="002C4061" w:rsidRDefault="00F932A4" w:rsidP="00172C28">
            <w:pPr>
              <w:pStyle w:val="12"/>
              <w:spacing w:line="259" w:lineRule="auto"/>
              <w:ind w:left="17" w:hanging="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solicitată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către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autoritatea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contractantă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B525" w14:textId="77777777" w:rsidR="00F932A4" w:rsidRPr="002C4061" w:rsidRDefault="00F932A4" w:rsidP="00172C28">
            <w:pPr>
              <w:pStyle w:val="12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Specificarea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tehnică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deplină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propusă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către</w:t>
            </w:r>
            <w:proofErr w:type="spellEnd"/>
          </w:p>
          <w:p w14:paraId="7E104B4B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ofertant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6A04" w14:textId="77777777" w:rsidR="00F932A4" w:rsidRPr="002C4061" w:rsidRDefault="00F932A4" w:rsidP="00172C28">
            <w:pPr>
              <w:pStyle w:val="12"/>
              <w:ind w:left="13" w:hanging="13"/>
              <w:jc w:val="center"/>
              <w:rPr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Stan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dar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de</w:t>
            </w:r>
            <w:proofErr w:type="spellEnd"/>
          </w:p>
          <w:p w14:paraId="0060F958" w14:textId="77777777" w:rsidR="00F932A4" w:rsidRPr="002C4061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refe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rinţ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ă</w:t>
            </w:r>
          </w:p>
        </w:tc>
      </w:tr>
      <w:tr w:rsidR="00F932A4" w14:paraId="1BF11EAE" w14:textId="77777777" w:rsidTr="00172C28">
        <w:trPr>
          <w:cantSplit/>
          <w:trHeight w:val="284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D9DB" w14:textId="77777777" w:rsidR="00F932A4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9766" w14:textId="77777777" w:rsidR="00F932A4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32D" w14:textId="77777777" w:rsidR="00F932A4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6736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4F7E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C8D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F6BA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932A4" w:rsidRPr="00EF2D98" w14:paraId="4D4C286F" w14:textId="77777777" w:rsidTr="00172C28">
        <w:trPr>
          <w:cantSplit/>
          <w:trHeight w:val="363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BC46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  <w:p w14:paraId="116D92B6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  <w:p w14:paraId="33A21C52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Servicii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asistență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tehnică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juridică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administrativă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acționând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ca Secretariat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Tehnic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Comitetului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Inițiativă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finalizarea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procedurilor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constituire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18"/>
                <w:szCs w:val="18"/>
                <w:lang w:val="en-US"/>
              </w:rPr>
              <w:t>înregistrare</w:t>
            </w:r>
            <w:proofErr w:type="spellEnd"/>
            <w:r w:rsidRPr="002C4061">
              <w:rPr>
                <w:b/>
                <w:bCs/>
                <w:sz w:val="18"/>
                <w:szCs w:val="18"/>
                <w:lang w:val="en-US"/>
              </w:rPr>
              <w:t xml:space="preserve"> a GECT EAST GATE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4536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  <w:p w14:paraId="49DD1723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708F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Moldova</w:t>
            </w:r>
            <w:proofErr w:type="spellEnd"/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E56F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1BD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Asistență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Juridică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Redactare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Documente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Fondatoare</w:t>
            </w:r>
            <w:proofErr w:type="spellEnd"/>
          </w:p>
          <w:p w14:paraId="0394E545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022C2C69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73B06F4A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52AA5E19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6CE8CB5B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39CE5FF0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3D435A05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5BE157DE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6EF4C89F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  <w:p w14:paraId="3FC167F5" w14:textId="77777777" w:rsidR="00F932A4" w:rsidRPr="002C4061" w:rsidRDefault="00F932A4" w:rsidP="00172C28">
            <w:pPr>
              <w:pStyle w:val="12"/>
              <w:rPr>
                <w:sz w:val="18"/>
                <w:szCs w:val="18"/>
                <w:lang w:val="en-US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06EE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Acordarea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asistență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tehnică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juridică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specialitate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redactarea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finalizarea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fondatoare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Proiectul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Convenție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Proiectul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Statut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Regulamentului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(CE) nr. 1082/2006).</w:t>
            </w:r>
          </w:p>
          <w:p w14:paraId="0A1CCC01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</w:p>
          <w:p w14:paraId="0DCAF970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Elaborarea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proiectelor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Deciziilor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/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Hotărârilor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autorităților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deliberative ale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necesare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aprobării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participării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la GECT.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0492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33756EC7" w14:textId="77777777" w:rsidTr="00172C28">
        <w:trPr>
          <w:cantSplit/>
          <w:trHeight w:val="282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0A87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E5F1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FCA1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188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8764" w14:textId="77777777" w:rsidR="00F932A4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Suport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Administrativ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Organizatoric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EEE0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Asigurarea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suportului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administrativ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logistic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secretariat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organizarea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ședințelor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Comitetului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Inițiativă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Biroului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Executiv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  <w:p w14:paraId="591108C6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</w:p>
          <w:p w14:paraId="7D8A8871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Gestionarea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actualizarea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listei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Fondatori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peste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256)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asigurarea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comunicării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permanente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aceștia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obținerea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necesare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4233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74B5E16B" w14:textId="77777777" w:rsidTr="00172C28">
        <w:trPr>
          <w:cantSplit/>
          <w:trHeight w:val="1815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9060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2AC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EB7C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B636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F801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Advocacy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Modificări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Legislative (R. Moldova)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15A9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Acordarea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asistență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tehnică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specialitate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susținerea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demersului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către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autoritățile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Republica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Moldova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Parlament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Guvern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vederea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operării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modificărilor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legislative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necesare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afilierii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depline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RM la GECT.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8F7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578D6568" w14:textId="77777777" w:rsidTr="00172C28">
        <w:trPr>
          <w:cantSplit/>
          <w:trHeight w:val="138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ADBA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2C2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6A13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F5B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1AD8" w14:textId="77777777" w:rsidR="00F932A4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Analiză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Proceduri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84F5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Analizarea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precedentelor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GECT (ex. GECT UTTS)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elaborarea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ghiduri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procedurale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facilita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obținerea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aprobărilor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naționale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cele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jurisdicții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(RO, BG, UA, MD).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7AD8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14:paraId="7F718862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1A10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CC41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976E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B2E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63D8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Gestionarea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Procedurilor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Aprobare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Națională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(State Membre UE: RO, BG)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3108" w14:textId="77777777" w:rsidR="00F932A4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Oferirea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suport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tehnic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juridic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potențiali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România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Bulgaria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pentru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transmiterea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corectă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C4061">
              <w:rPr>
                <w:color w:val="1B1C1D"/>
                <w:sz w:val="18"/>
                <w:szCs w:val="18"/>
                <w:lang w:val="en-US"/>
              </w:rPr>
              <w:t>a</w:t>
            </w:r>
            <w:proofErr w:type="gram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intenției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participa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constitutive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către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autoritățile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naționale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notificare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desemnate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(ex. </w:t>
            </w:r>
            <w:r>
              <w:rPr>
                <w:color w:val="1B1C1D"/>
                <w:sz w:val="18"/>
                <w:szCs w:val="18"/>
              </w:rPr>
              <w:t xml:space="preserve">MDLPA </w:t>
            </w:r>
            <w:proofErr w:type="spellStart"/>
            <w:r>
              <w:rPr>
                <w:color w:val="1B1C1D"/>
                <w:sz w:val="18"/>
                <w:szCs w:val="18"/>
              </w:rPr>
              <w:t>în</w:t>
            </w:r>
            <w:proofErr w:type="spellEnd"/>
            <w:r>
              <w:rPr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1B1C1D"/>
                <w:sz w:val="18"/>
                <w:szCs w:val="18"/>
              </w:rPr>
              <w:t>România</w:t>
            </w:r>
            <w:proofErr w:type="spellEnd"/>
            <w:r>
              <w:rPr>
                <w:color w:val="1B1C1D"/>
                <w:sz w:val="18"/>
                <w:szCs w:val="18"/>
              </w:rPr>
              <w:t>).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D866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F932A4" w:rsidRPr="00EF2D98" w14:paraId="7D3E6E88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14CF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0C1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A7DC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8468" w14:textId="77777777" w:rsidR="00F932A4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4952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Gestionarea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Procedurilor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Aprobare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Națională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Țări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Terțe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: MD, UA)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A9D4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Monitorizarea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sprijinirea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potențiali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Republica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Moldova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Ucraina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procesul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obținere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C4061">
              <w:rPr>
                <w:color w:val="1B1C1D"/>
                <w:sz w:val="18"/>
                <w:szCs w:val="18"/>
                <w:lang w:val="en-US"/>
              </w:rPr>
              <w:t>a</w:t>
            </w:r>
            <w:proofErr w:type="gram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aprobării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prealabile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participare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la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autoritățile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naționale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competente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conform Art. 4(3a) din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Regulamentul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CE 1082/2006.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F817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5505E423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51FD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370A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7C8F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270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061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Centralizarea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Documentației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Depunerea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Dosarului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Final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0671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Colectarea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centralizarea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care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atestă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aprobarea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participării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obținute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toți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special din BG, MD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UA).</w:t>
            </w:r>
          </w:p>
          <w:p w14:paraId="726D0AF8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</w:p>
          <w:p w14:paraId="5C4AB7D7" w14:textId="77777777" w:rsidR="00F932A4" w:rsidRPr="002C4061" w:rsidRDefault="00F932A4" w:rsidP="00172C28">
            <w:pPr>
              <w:pStyle w:val="12"/>
              <w:spacing w:after="184" w:line="238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Pregătirea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gestionarea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numele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Comitetului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Inițiativă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comunicării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oficiale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depunerea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dosarului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final la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autoritatea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notificare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statul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sediu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(MDLPA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România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).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94BD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4099522C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E582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A16A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CA5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574F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7BF1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Asistență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Faza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Autorizare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Consultare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Interstatală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AB55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Asigurarea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fluxului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răspunsuri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solicitările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clarificare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pe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parcursul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procedurii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consultare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dintre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MDLPA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România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autoritatea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din Bulgaria)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C4061">
              <w:rPr>
                <w:color w:val="1B1C1D"/>
                <w:sz w:val="18"/>
                <w:szCs w:val="18"/>
                <w:lang w:val="en-US"/>
              </w:rPr>
              <w:t>a</w:t>
            </w:r>
            <w:proofErr w:type="gram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analizei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vederea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emiterii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deciziei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finale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autorizare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D378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5D5EE02E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48EF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E8B1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AF69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235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448A" w14:textId="77777777" w:rsidR="00F932A4" w:rsidRPr="002C4061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  <w:lang w:val="en-US"/>
              </w:rPr>
            </w:pP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Comunicare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Instituțiile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UE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color w:val="1B1C1D"/>
                <w:sz w:val="18"/>
                <w:szCs w:val="18"/>
                <w:lang w:val="en-US"/>
              </w:rPr>
              <w:t>Traduceri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1EFA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Elaborarea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proiectului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scrisoare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oficială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cererii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înregistrare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către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Comitetul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Regiunilor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al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Uniunii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Europene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  <w:p w14:paraId="2757232E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</w:p>
          <w:p w14:paraId="54ED64B1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Asigurarea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traducerii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documentelor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lucru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esențiale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limbile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relevante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română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bulgară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ucraineană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engleză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).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B0FE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  <w:tr w:rsidR="00F932A4" w:rsidRPr="00EF2D98" w14:paraId="5BA411A2" w14:textId="77777777" w:rsidTr="00172C28">
        <w:trPr>
          <w:cantSplit/>
          <w:trHeight w:val="570"/>
          <w:tblHeader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31BC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B7C9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697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3044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5945" w14:textId="77777777" w:rsidR="00F932A4" w:rsidRDefault="00F932A4" w:rsidP="00172C28">
            <w:pPr>
              <w:pStyle w:val="12"/>
              <w:rPr>
                <w:b/>
                <w:bCs/>
                <w:color w:val="1B1C1D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Managementul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Contractării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și</w:t>
            </w:r>
            <w:proofErr w:type="spellEnd"/>
            <w:r>
              <w:rPr>
                <w:b/>
                <w:bCs/>
                <w:color w:val="1B1C1D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1B1C1D"/>
                <w:sz w:val="18"/>
                <w:szCs w:val="18"/>
              </w:rPr>
              <w:t>Reprezentare</w:t>
            </w:r>
            <w:proofErr w:type="spellEnd"/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B197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Monitorizarea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procesului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contractare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directă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semnarea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acestui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contract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către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raportarea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periodică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către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Biroul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Executiv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  <w:p w14:paraId="3B7CBBB5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</w:p>
          <w:p w14:paraId="3B39DE07" w14:textId="77777777" w:rsidR="00F932A4" w:rsidRPr="002C4061" w:rsidRDefault="00F932A4" w:rsidP="00172C28">
            <w:pPr>
              <w:pStyle w:val="1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1B1C1D"/>
                <w:sz w:val="18"/>
                <w:szCs w:val="18"/>
                <w:lang w:val="en-US"/>
              </w:rPr>
            </w:pPr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-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Reprezentarea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tehnică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Comitetului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Inițiativă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, la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mandatul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BE,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în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scopul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promovării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demersului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și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atragerii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noi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4061">
              <w:rPr>
                <w:color w:val="1B1C1D"/>
                <w:sz w:val="18"/>
                <w:szCs w:val="18"/>
                <w:lang w:val="en-US"/>
              </w:rPr>
              <w:t>membri</w:t>
            </w:r>
            <w:proofErr w:type="spellEnd"/>
            <w:r w:rsidRPr="002C4061">
              <w:rPr>
                <w:color w:val="1B1C1D"/>
                <w:sz w:val="18"/>
                <w:szCs w:val="18"/>
                <w:lang w:val="en-US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9320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14:paraId="404559FB" w14:textId="77777777" w:rsidR="00F932A4" w:rsidRPr="002C4061" w:rsidRDefault="00F932A4" w:rsidP="00F932A4">
      <w:pPr>
        <w:pStyle w:val="12"/>
        <w:rPr>
          <w:sz w:val="20"/>
          <w:szCs w:val="20"/>
          <w:lang w:val="en-US"/>
        </w:rPr>
      </w:pPr>
    </w:p>
    <w:p w14:paraId="3F99BBC3" w14:textId="77777777" w:rsidR="00F932A4" w:rsidRPr="002C4061" w:rsidRDefault="00F932A4" w:rsidP="00F932A4">
      <w:pPr>
        <w:pStyle w:val="12"/>
        <w:rPr>
          <w:sz w:val="20"/>
          <w:szCs w:val="20"/>
          <w:lang w:val="en-US"/>
        </w:rPr>
      </w:pPr>
    </w:p>
    <w:tbl>
      <w:tblPr>
        <w:tblpPr w:leftFromText="180" w:rightFromText="180" w:vertAnchor="text" w:tblpY="1"/>
        <w:tblW w:w="10914" w:type="dxa"/>
        <w:tblLayout w:type="fixed"/>
        <w:tblLook w:val="0000" w:firstRow="0" w:lastRow="0" w:firstColumn="0" w:lastColumn="0" w:noHBand="0" w:noVBand="0"/>
      </w:tblPr>
      <w:tblGrid>
        <w:gridCol w:w="5411"/>
        <w:gridCol w:w="5503"/>
      </w:tblGrid>
      <w:tr w:rsidR="00F932A4" w14:paraId="600D96AA" w14:textId="77777777" w:rsidTr="00172C28">
        <w:trPr>
          <w:cantSplit/>
          <w:trHeight w:val="2121"/>
          <w:tblHeader/>
        </w:trPr>
        <w:tc>
          <w:tcPr>
            <w:tcW w:w="5411" w:type="dxa"/>
          </w:tcPr>
          <w:p w14:paraId="07C50FEB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2E006950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Prestatorul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</w:p>
          <w:p w14:paraId="60D4EBB7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6363BA86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Administrator: Sergiu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Suharenco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  ________</w:t>
            </w:r>
          </w:p>
          <w:p w14:paraId="03F787DE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</w:p>
          <w:p w14:paraId="4A23F350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/_______________________/</w:t>
            </w:r>
          </w:p>
          <w:p w14:paraId="603A2F95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503" w:type="dxa"/>
          </w:tcPr>
          <w:p w14:paraId="33405A12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6CC3071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Beneficiarul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26B38F8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5AEE6C46" w14:textId="77777777" w:rsidR="00E67B6B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Președintele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raionului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Rîșcani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06753460" w14:textId="31BDD703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Vladimir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Mizdrenco</w:t>
            </w:r>
            <w:proofErr w:type="spellEnd"/>
          </w:p>
          <w:p w14:paraId="5966F5C7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</w:p>
          <w:p w14:paraId="5DEFC841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/_______________________/</w:t>
            </w:r>
          </w:p>
          <w:p w14:paraId="52E25435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  <w:p w14:paraId="4FC552FD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</w:tc>
      </w:tr>
    </w:tbl>
    <w:p w14:paraId="0459E109" w14:textId="77777777" w:rsidR="00F932A4" w:rsidRDefault="00F932A4" w:rsidP="00F932A4">
      <w:pPr>
        <w:pStyle w:val="12"/>
        <w:rPr>
          <w:sz w:val="20"/>
          <w:szCs w:val="20"/>
        </w:rPr>
      </w:pPr>
    </w:p>
    <w:p w14:paraId="071AD19E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2AE8487B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2C31655C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7E0A499E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6BB73260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6E147001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</w:rPr>
      </w:pPr>
    </w:p>
    <w:p w14:paraId="2119BC31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  <w:lang w:val="ro-RO"/>
        </w:rPr>
      </w:pPr>
    </w:p>
    <w:p w14:paraId="735577F1" w14:textId="77777777" w:rsidR="00F932A4" w:rsidRDefault="00F932A4" w:rsidP="00F932A4">
      <w:pPr>
        <w:pStyle w:val="12"/>
        <w:widowControl w:val="0"/>
        <w:rPr>
          <w:b/>
          <w:bCs/>
          <w:sz w:val="20"/>
          <w:szCs w:val="20"/>
          <w:lang w:val="ro-RO"/>
        </w:rPr>
      </w:pPr>
    </w:p>
    <w:p w14:paraId="30E75814" w14:textId="77777777" w:rsidR="00F932A4" w:rsidRPr="00EF2D98" w:rsidRDefault="00F932A4" w:rsidP="00F932A4">
      <w:pPr>
        <w:pStyle w:val="12"/>
        <w:widowControl w:val="0"/>
        <w:rPr>
          <w:b/>
          <w:bCs/>
          <w:sz w:val="20"/>
          <w:szCs w:val="20"/>
          <w:lang w:val="en-US"/>
        </w:rPr>
      </w:pPr>
      <w:proofErr w:type="spellStart"/>
      <w:r w:rsidRPr="00EF2D98">
        <w:rPr>
          <w:b/>
          <w:bCs/>
          <w:sz w:val="20"/>
          <w:szCs w:val="20"/>
          <w:lang w:val="en-US"/>
        </w:rPr>
        <w:t>Anexa</w:t>
      </w:r>
      <w:proofErr w:type="spellEnd"/>
      <w:r w:rsidRPr="00EF2D98">
        <w:rPr>
          <w:b/>
          <w:bCs/>
          <w:sz w:val="20"/>
          <w:szCs w:val="20"/>
          <w:lang w:val="en-US"/>
        </w:rPr>
        <w:t xml:space="preserve"> nr.2 </w:t>
      </w:r>
      <w:proofErr w:type="spellStart"/>
      <w:r w:rsidRPr="00EF2D98">
        <w:rPr>
          <w:b/>
          <w:bCs/>
          <w:sz w:val="20"/>
          <w:szCs w:val="20"/>
          <w:lang w:val="en-US"/>
        </w:rPr>
        <w:t>Specificații</w:t>
      </w:r>
      <w:proofErr w:type="spellEnd"/>
      <w:r w:rsidRPr="00EF2D98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Pr="00EF2D98">
        <w:rPr>
          <w:b/>
          <w:bCs/>
          <w:sz w:val="20"/>
          <w:szCs w:val="20"/>
          <w:lang w:val="en-US"/>
        </w:rPr>
        <w:t>preț</w:t>
      </w:r>
      <w:proofErr w:type="spellEnd"/>
    </w:p>
    <w:p w14:paraId="362AD71A" w14:textId="77777777" w:rsidR="00F932A4" w:rsidRPr="00EF2D98" w:rsidRDefault="00F932A4" w:rsidP="00F932A4">
      <w:pPr>
        <w:pStyle w:val="12"/>
        <w:rPr>
          <w:sz w:val="20"/>
          <w:szCs w:val="20"/>
          <w:lang w:val="en-US"/>
        </w:rPr>
      </w:pPr>
    </w:p>
    <w:p w14:paraId="248AC023" w14:textId="77777777" w:rsidR="00F932A4" w:rsidRPr="00EF2D98" w:rsidRDefault="00F932A4" w:rsidP="00F932A4">
      <w:pPr>
        <w:pStyle w:val="12"/>
        <w:rPr>
          <w:sz w:val="20"/>
          <w:szCs w:val="20"/>
          <w:lang w:val="en-US"/>
        </w:rPr>
      </w:pPr>
    </w:p>
    <w:p w14:paraId="79F9C153" w14:textId="77777777" w:rsidR="00F932A4" w:rsidRPr="00EF2D98" w:rsidRDefault="00F932A4" w:rsidP="00F932A4">
      <w:pPr>
        <w:pStyle w:val="12"/>
        <w:rPr>
          <w:sz w:val="20"/>
          <w:szCs w:val="20"/>
          <w:lang w:val="en-US"/>
        </w:rPr>
      </w:pPr>
    </w:p>
    <w:tbl>
      <w:tblPr>
        <w:tblW w:w="8432" w:type="dxa"/>
        <w:tblInd w:w="2" w:type="dxa"/>
        <w:tblLayout w:type="fixed"/>
        <w:tblLook w:val="0400" w:firstRow="0" w:lastRow="0" w:firstColumn="0" w:lastColumn="0" w:noHBand="0" w:noVBand="1"/>
      </w:tblPr>
      <w:tblGrid>
        <w:gridCol w:w="1785"/>
        <w:gridCol w:w="1132"/>
        <w:gridCol w:w="1216"/>
        <w:gridCol w:w="1084"/>
        <w:gridCol w:w="1346"/>
        <w:gridCol w:w="1869"/>
      </w:tblGrid>
      <w:tr w:rsidR="00F932A4" w14:paraId="0C5BF28C" w14:textId="77777777" w:rsidTr="00172C28">
        <w:trPr>
          <w:cantSplit/>
          <w:trHeight w:val="1307"/>
          <w:tblHeader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7958" w14:textId="77777777" w:rsidR="00F932A4" w:rsidRDefault="00F932A4" w:rsidP="00172C28">
            <w:pPr>
              <w:pStyle w:val="12"/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Denumirea</w:t>
            </w:r>
            <w:proofErr w:type="spellEnd"/>
          </w:p>
          <w:p w14:paraId="5E8E3042" w14:textId="77777777" w:rsidR="00F932A4" w:rsidRDefault="00F932A4" w:rsidP="00172C28">
            <w:pPr>
              <w:pStyle w:val="12"/>
              <w:spacing w:line="259" w:lineRule="auto"/>
              <w:ind w:left="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bunurilor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servi</w:t>
            </w:r>
            <w:proofErr w:type="spellEnd"/>
          </w:p>
          <w:p w14:paraId="0FDE4798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ciilor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501C" w14:textId="77777777" w:rsidR="00F932A4" w:rsidRDefault="00F932A4" w:rsidP="00172C28">
            <w:pPr>
              <w:pStyle w:val="12"/>
              <w:spacing w:line="259" w:lineRule="auto"/>
              <w:ind w:left="4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măsură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D5C" w14:textId="77777777" w:rsidR="00F932A4" w:rsidRDefault="00F932A4" w:rsidP="00172C28">
            <w:pPr>
              <w:pStyle w:val="12"/>
              <w:spacing w:line="259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Cantitatea</w:t>
            </w:r>
            <w:proofErr w:type="spell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E2E6F" w14:textId="77777777" w:rsidR="00F932A4" w:rsidRDefault="00F932A4" w:rsidP="00172C28">
            <w:pPr>
              <w:pStyle w:val="12"/>
              <w:spacing w:after="2" w:line="238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Suma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cu</w:t>
            </w:r>
            <w:proofErr w:type="spellEnd"/>
          </w:p>
          <w:p w14:paraId="1BE83444" w14:textId="77777777" w:rsidR="00F932A4" w:rsidRDefault="00F932A4" w:rsidP="00172C28">
            <w:pPr>
              <w:pStyle w:val="12"/>
              <w:spacing w:line="259" w:lineRule="auto"/>
              <w:ind w:left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TVA</w:t>
            </w:r>
          </w:p>
          <w:p w14:paraId="3629C34F" w14:textId="77777777" w:rsidR="00F932A4" w:rsidRDefault="00F932A4" w:rsidP="00172C28">
            <w:pPr>
              <w:pStyle w:val="12"/>
              <w:spacing w:line="259" w:lineRule="auto"/>
              <w:ind w:left="4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6C9" w14:textId="77777777" w:rsidR="00F932A4" w:rsidRDefault="00F932A4" w:rsidP="00172C28">
            <w:pPr>
              <w:pStyle w:val="12"/>
              <w:spacing w:line="239" w:lineRule="auto"/>
              <w:ind w:left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Termen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prestare</w:t>
            </w:r>
            <w:proofErr w:type="spellEnd"/>
          </w:p>
          <w:p w14:paraId="75DDCC18" w14:textId="77777777" w:rsidR="00F932A4" w:rsidRDefault="00F932A4" w:rsidP="00172C28">
            <w:pPr>
              <w:pStyle w:val="12"/>
              <w:spacing w:line="259" w:lineRule="auto"/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751" w14:textId="77777777" w:rsidR="00F932A4" w:rsidRDefault="00F932A4" w:rsidP="00172C28">
            <w:pPr>
              <w:pStyle w:val="12"/>
              <w:spacing w:after="212" w:line="259" w:lineRule="auto"/>
              <w:ind w:left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65E48F57" w14:textId="77777777" w:rsidR="00F932A4" w:rsidRDefault="00F932A4" w:rsidP="00172C28">
            <w:pPr>
              <w:pStyle w:val="12"/>
              <w:spacing w:line="259" w:lineRule="auto"/>
              <w:ind w:left="6"/>
              <w:jc w:val="center"/>
              <w:rPr>
                <w:sz w:val="20"/>
                <w:szCs w:val="20"/>
              </w:rPr>
            </w:pPr>
          </w:p>
        </w:tc>
      </w:tr>
      <w:tr w:rsidR="00F932A4" w14:paraId="33E91AA4" w14:textId="77777777" w:rsidTr="00172C28">
        <w:trPr>
          <w:cantSplit/>
          <w:trHeight w:val="3206"/>
          <w:tblHeader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9497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19753362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040F7DD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1771BB25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1253677" w14:textId="77777777" w:rsidR="00F932A4" w:rsidRPr="002C4061" w:rsidRDefault="00F932A4" w:rsidP="00172C28">
            <w:pPr>
              <w:pStyle w:val="12"/>
              <w:spacing w:line="238" w:lineRule="auto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0BA7134E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239C40ED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>Servicii</w:t>
            </w:r>
            <w:proofErr w:type="spellEnd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>consultanţă</w:t>
            </w:r>
            <w:proofErr w:type="spellEnd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>și</w:t>
            </w:r>
            <w:proofErr w:type="spellEnd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de </w:t>
            </w:r>
          </w:p>
          <w:p w14:paraId="3C737BCF" w14:textId="77777777" w:rsidR="00F932A4" w:rsidRPr="002C4061" w:rsidRDefault="00F932A4" w:rsidP="00172C28">
            <w:pPr>
              <w:pStyle w:val="12"/>
              <w:spacing w:line="238" w:lineRule="auto"/>
              <w:ind w:left="2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>reprezentare</w:t>
            </w:r>
            <w:proofErr w:type="spellEnd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u w:val="single"/>
                <w:lang w:val="en-US"/>
              </w:rPr>
              <w:t>juridică</w:t>
            </w:r>
            <w:proofErr w:type="spellEnd"/>
          </w:p>
          <w:p w14:paraId="35617CC5" w14:textId="77777777" w:rsidR="00F932A4" w:rsidRPr="002C4061" w:rsidRDefault="00F932A4" w:rsidP="00172C28">
            <w:pPr>
              <w:pStyle w:val="12"/>
              <w:spacing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5526" w14:textId="77777777" w:rsidR="00F932A4" w:rsidRPr="002C4061" w:rsidRDefault="00F932A4" w:rsidP="00172C28">
            <w:pPr>
              <w:pStyle w:val="12"/>
              <w:spacing w:after="2" w:line="238" w:lineRule="auto"/>
              <w:ind w:left="2"/>
              <w:rPr>
                <w:sz w:val="20"/>
                <w:szCs w:val="20"/>
                <w:lang w:val="en-US"/>
              </w:rPr>
            </w:pPr>
          </w:p>
          <w:p w14:paraId="265B8CDD" w14:textId="77777777" w:rsidR="00F932A4" w:rsidRDefault="00F932A4" w:rsidP="00172C28">
            <w:pPr>
              <w:pStyle w:val="12"/>
              <w:spacing w:after="2" w:line="238" w:lineRule="auto"/>
              <w:ind w:left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contract</w:t>
            </w:r>
            <w:proofErr w:type="spellEnd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D015" w14:textId="77777777" w:rsidR="00F932A4" w:rsidRDefault="00F932A4" w:rsidP="00172C28">
            <w:pPr>
              <w:pStyle w:val="12"/>
              <w:spacing w:line="259" w:lineRule="auto"/>
              <w:ind w:left="2"/>
              <w:rPr>
                <w:sz w:val="20"/>
                <w:szCs w:val="20"/>
              </w:rPr>
            </w:pPr>
          </w:p>
          <w:p w14:paraId="75366847" w14:textId="77777777" w:rsidR="00F932A4" w:rsidRDefault="00F932A4" w:rsidP="00172C28">
            <w:pPr>
              <w:pStyle w:val="12"/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63E7" w14:textId="77777777" w:rsidR="00F932A4" w:rsidRDefault="00F932A4" w:rsidP="00172C28">
            <w:pPr>
              <w:pStyle w:val="12"/>
              <w:spacing w:line="259" w:lineRule="auto"/>
              <w:ind w:left="2"/>
              <w:rPr>
                <w:sz w:val="20"/>
                <w:szCs w:val="20"/>
              </w:rPr>
            </w:pPr>
          </w:p>
          <w:p w14:paraId="3E44755A" w14:textId="77777777" w:rsidR="00F932A4" w:rsidRDefault="00F932A4" w:rsidP="00172C28">
            <w:pPr>
              <w:pStyle w:val="12"/>
              <w:spacing w:line="259" w:lineRule="auto"/>
              <w:ind w:left="2"/>
              <w:rPr>
                <w:sz w:val="20"/>
                <w:szCs w:val="20"/>
              </w:rPr>
            </w:pPr>
          </w:p>
          <w:p w14:paraId="6356CEC4" w14:textId="77777777" w:rsidR="00F932A4" w:rsidRDefault="00F932A4" w:rsidP="00172C28">
            <w:pPr>
              <w:pStyle w:val="12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820</w:t>
            </w:r>
            <w:r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72393" w14:textId="77777777" w:rsidR="00F932A4" w:rsidRPr="002C4061" w:rsidRDefault="00F932A4" w:rsidP="00172C28">
            <w:pPr>
              <w:pStyle w:val="12"/>
              <w:spacing w:line="259" w:lineRule="auto"/>
              <w:rPr>
                <w:sz w:val="20"/>
                <w:szCs w:val="20"/>
                <w:lang w:val="en-US"/>
              </w:rPr>
            </w:pPr>
            <w:r w:rsidRPr="002C4061">
              <w:rPr>
                <w:sz w:val="20"/>
                <w:szCs w:val="20"/>
                <w:lang w:val="en-US"/>
              </w:rPr>
              <w:t xml:space="preserve">24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luni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semnarea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contractului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până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finalizarea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etapelor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sz w:val="20"/>
                <w:szCs w:val="20"/>
                <w:lang w:val="en-US"/>
              </w:rPr>
              <w:t>contractate</w:t>
            </w:r>
            <w:proofErr w:type="spellEnd"/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73D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2F4CD18E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310FF660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4C6B86C8" w14:textId="77777777" w:rsidR="00F932A4" w:rsidRPr="002C4061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541E928D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MD91VI022512600001510MDL</w:t>
            </w:r>
          </w:p>
        </w:tc>
      </w:tr>
      <w:tr w:rsidR="00F932A4" w14:paraId="0E4011A6" w14:textId="77777777" w:rsidTr="00172C28">
        <w:trPr>
          <w:cantSplit/>
          <w:trHeight w:val="371"/>
          <w:tblHeader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E33E" w14:textId="77777777" w:rsidR="00F932A4" w:rsidRDefault="00F932A4" w:rsidP="00172C28">
            <w:pPr>
              <w:pStyle w:val="12"/>
              <w:spacing w:line="259" w:lineRule="auto"/>
              <w:ind w:left="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76F2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0F50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2B08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 xml:space="preserve">820 </w:t>
            </w:r>
            <w:r>
              <w:rPr>
                <w:sz w:val="20"/>
                <w:szCs w:val="20"/>
              </w:rPr>
              <w:t>EUR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A9DE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B34A" w14:textId="77777777" w:rsidR="00F932A4" w:rsidRDefault="00F932A4" w:rsidP="00172C28">
            <w:pPr>
              <w:pStyle w:val="12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4AF1D922" w14:textId="77777777" w:rsidR="00F932A4" w:rsidRDefault="00F932A4" w:rsidP="00F932A4">
      <w:pPr>
        <w:pStyle w:val="1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tbl>
      <w:tblPr>
        <w:tblpPr w:leftFromText="180" w:rightFromText="180" w:vertAnchor="text" w:tblpY="1"/>
        <w:tblW w:w="10914" w:type="dxa"/>
        <w:tblLayout w:type="fixed"/>
        <w:tblLook w:val="0000" w:firstRow="0" w:lastRow="0" w:firstColumn="0" w:lastColumn="0" w:noHBand="0" w:noVBand="0"/>
      </w:tblPr>
      <w:tblGrid>
        <w:gridCol w:w="5411"/>
        <w:gridCol w:w="5503"/>
      </w:tblGrid>
      <w:tr w:rsidR="00F932A4" w14:paraId="72C8E4F5" w14:textId="77777777" w:rsidTr="00172C28">
        <w:trPr>
          <w:cantSplit/>
          <w:trHeight w:val="2121"/>
          <w:tblHeader/>
        </w:trPr>
        <w:tc>
          <w:tcPr>
            <w:tcW w:w="5411" w:type="dxa"/>
          </w:tcPr>
          <w:p w14:paraId="3B23C04C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6595005E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Prestatorul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</w:p>
          <w:p w14:paraId="203C1168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3B7494E7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Administrator: Sergiu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Suharenco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  ________</w:t>
            </w:r>
          </w:p>
          <w:p w14:paraId="02813EC2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</w:p>
          <w:p w14:paraId="33514DFA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/_______________________/</w:t>
            </w:r>
          </w:p>
          <w:p w14:paraId="51293DD3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</w:tc>
        <w:tc>
          <w:tcPr>
            <w:tcW w:w="5503" w:type="dxa"/>
          </w:tcPr>
          <w:p w14:paraId="36359581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40B54523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Beneficiarul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52A304D" w14:textId="77777777" w:rsidR="00F932A4" w:rsidRPr="002C4061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</w:p>
          <w:p w14:paraId="39F97302" w14:textId="77777777" w:rsidR="00E67B6B" w:rsidRDefault="00F932A4" w:rsidP="00172C28">
            <w:pPr>
              <w:pStyle w:val="1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Președintele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4061">
              <w:rPr>
                <w:b/>
                <w:bCs/>
                <w:sz w:val="20"/>
                <w:szCs w:val="20"/>
                <w:lang w:val="en-US"/>
              </w:rPr>
              <w:t>raionului</w:t>
            </w:r>
            <w:proofErr w:type="spellEnd"/>
            <w:r w:rsidRPr="002C406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Rîșcani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3E8BB29E" w14:textId="08FF01EC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Vladimir 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Mizdrenco</w:t>
            </w:r>
            <w:proofErr w:type="spellEnd"/>
            <w:r w:rsidRPr="002C4061">
              <w:rPr>
                <w:sz w:val="20"/>
                <w:szCs w:val="20"/>
                <w:lang w:val="en-US"/>
              </w:rPr>
              <w:t xml:space="preserve"> </w:t>
            </w:r>
          </w:p>
          <w:p w14:paraId="10503D87" w14:textId="77777777" w:rsidR="00F932A4" w:rsidRPr="002C4061" w:rsidRDefault="00F932A4" w:rsidP="00172C28">
            <w:pPr>
              <w:pStyle w:val="12"/>
              <w:rPr>
                <w:sz w:val="20"/>
                <w:szCs w:val="20"/>
                <w:lang w:val="en-US"/>
              </w:rPr>
            </w:pPr>
          </w:p>
          <w:p w14:paraId="71552D9F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Semnătura</w:t>
            </w:r>
            <w:proofErr w:type="spellEnd"/>
            <w:r>
              <w:rPr>
                <w:sz w:val="20"/>
                <w:szCs w:val="20"/>
              </w:rPr>
              <w:t xml:space="preserve"> /_______________________/</w:t>
            </w:r>
          </w:p>
          <w:p w14:paraId="6BC414D6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  <w:p w14:paraId="5C603B1E" w14:textId="77777777" w:rsidR="00F932A4" w:rsidRDefault="00F932A4" w:rsidP="00172C28">
            <w:pPr>
              <w:pStyle w:val="12"/>
              <w:rPr>
                <w:sz w:val="20"/>
                <w:szCs w:val="20"/>
              </w:rPr>
            </w:pPr>
          </w:p>
        </w:tc>
      </w:tr>
    </w:tbl>
    <w:p w14:paraId="20047CE6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7383AA0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32DF95E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45C484E8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F2B9891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6688B5CF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25B3BCD0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7B5F3FA4" w14:textId="77777777" w:rsidR="00066786" w:rsidRDefault="00066786" w:rsidP="00EC3253">
      <w:pPr>
        <w:spacing w:line="360" w:lineRule="auto"/>
        <w:jc w:val="center"/>
        <w:rPr>
          <w:sz w:val="28"/>
          <w:szCs w:val="28"/>
          <w:lang w:val="en-US"/>
        </w:rPr>
      </w:pPr>
    </w:p>
    <w:p w14:paraId="10196CBE" w14:textId="77777777" w:rsidR="00066786" w:rsidRDefault="00066786" w:rsidP="00350929">
      <w:pPr>
        <w:spacing w:line="360" w:lineRule="auto"/>
        <w:rPr>
          <w:sz w:val="28"/>
          <w:szCs w:val="28"/>
          <w:lang w:val="en-US"/>
        </w:rPr>
      </w:pPr>
    </w:p>
    <w:sectPr w:rsidR="00066786" w:rsidSect="00B92816">
      <w:pgSz w:w="11906" w:h="16838"/>
      <w:pgMar w:top="1134" w:right="1134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2D24"/>
    <w:multiLevelType w:val="multilevel"/>
    <w:tmpl w:val="11762152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8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610C28"/>
    <w:multiLevelType w:val="multilevel"/>
    <w:tmpl w:val="308273E4"/>
    <w:lvl w:ilvl="0">
      <w:start w:val="1"/>
      <w:numFmt w:val="bullet"/>
      <w:lvlText w:val="-"/>
      <w:lvlJc w:val="left"/>
      <w:pPr>
        <w:ind w:left="124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6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68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0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2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4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6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28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05" w:hanging="360"/>
      </w:pPr>
      <w:rPr>
        <w:u w:val="none"/>
      </w:rPr>
    </w:lvl>
  </w:abstractNum>
  <w:abstractNum w:abstractNumId="2" w15:restartNumberingAfterBreak="0">
    <w:nsid w:val="067C65CC"/>
    <w:multiLevelType w:val="hybridMultilevel"/>
    <w:tmpl w:val="4F0CDBC2"/>
    <w:lvl w:ilvl="0" w:tplc="D89EA7BC">
      <w:start w:val="1"/>
      <w:numFmt w:val="decimal"/>
      <w:lvlText w:val="%1."/>
      <w:lvlJc w:val="left"/>
      <w:pPr>
        <w:ind w:left="23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43301"/>
    <w:multiLevelType w:val="multilevel"/>
    <w:tmpl w:val="E0944C28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0A2D6C"/>
    <w:multiLevelType w:val="multilevel"/>
    <w:tmpl w:val="9D228D6E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19B1BC2"/>
    <w:multiLevelType w:val="multilevel"/>
    <w:tmpl w:val="0F72E014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201425"/>
    <w:multiLevelType w:val="multilevel"/>
    <w:tmpl w:val="16AE61F8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6CC360A"/>
    <w:multiLevelType w:val="multilevel"/>
    <w:tmpl w:val="AB4ACEC8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7FD012F"/>
    <w:multiLevelType w:val="multilevel"/>
    <w:tmpl w:val="388A8A34"/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8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B6769B6"/>
    <w:multiLevelType w:val="multilevel"/>
    <w:tmpl w:val="801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52D4D"/>
    <w:multiLevelType w:val="multilevel"/>
    <w:tmpl w:val="24728104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680719"/>
    <w:multiLevelType w:val="multilevel"/>
    <w:tmpl w:val="FD544CF2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8DF3D30"/>
    <w:multiLevelType w:val="multilevel"/>
    <w:tmpl w:val="1B6A0D42"/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8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CC1BC5"/>
    <w:multiLevelType w:val="hybridMultilevel"/>
    <w:tmpl w:val="215C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D0D2C"/>
    <w:multiLevelType w:val="multilevel"/>
    <w:tmpl w:val="EA20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932F53"/>
    <w:multiLevelType w:val="multilevel"/>
    <w:tmpl w:val="A09AC496"/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8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08B5064"/>
    <w:multiLevelType w:val="multilevel"/>
    <w:tmpl w:val="85688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95AF6"/>
    <w:multiLevelType w:val="hybridMultilevel"/>
    <w:tmpl w:val="620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E116C"/>
    <w:multiLevelType w:val="multilevel"/>
    <w:tmpl w:val="342E42A4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4E6758"/>
    <w:multiLevelType w:val="multilevel"/>
    <w:tmpl w:val="D7CA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802D51"/>
    <w:multiLevelType w:val="multilevel"/>
    <w:tmpl w:val="940400D2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7E53C72"/>
    <w:multiLevelType w:val="multilevel"/>
    <w:tmpl w:val="1E1C98B4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81F715B"/>
    <w:multiLevelType w:val="hybridMultilevel"/>
    <w:tmpl w:val="0B4CE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486A18"/>
    <w:multiLevelType w:val="multilevel"/>
    <w:tmpl w:val="B0B8234A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E8403A"/>
    <w:multiLevelType w:val="hybridMultilevel"/>
    <w:tmpl w:val="620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172C8F"/>
    <w:multiLevelType w:val="multilevel"/>
    <w:tmpl w:val="35A426E2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B8D4EFE"/>
    <w:multiLevelType w:val="multilevel"/>
    <w:tmpl w:val="3224FE0E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D2E3F38"/>
    <w:multiLevelType w:val="multilevel"/>
    <w:tmpl w:val="EB860546"/>
    <w:lvl w:ilvl="0">
      <w:start w:val="1"/>
      <w:numFmt w:val="decimal"/>
      <w:lvlText w:val="%1.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885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30D1A12"/>
    <w:multiLevelType w:val="hybridMultilevel"/>
    <w:tmpl w:val="4DF4FCD8"/>
    <w:lvl w:ilvl="0" w:tplc="1F0A11D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B47D93"/>
    <w:multiLevelType w:val="multilevel"/>
    <w:tmpl w:val="66EE3370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51CB8"/>
    <w:multiLevelType w:val="multilevel"/>
    <w:tmpl w:val="00D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FD19E0"/>
    <w:multiLevelType w:val="hybridMultilevel"/>
    <w:tmpl w:val="D886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606873"/>
    <w:multiLevelType w:val="multilevel"/>
    <w:tmpl w:val="B6460EEC"/>
    <w:lvl w:ilvl="0">
      <w:start w:val="1"/>
      <w:numFmt w:val="lowerLetter"/>
      <w:lvlText w:val="%1)"/>
      <w:lvlJc w:val="left"/>
      <w:pPr>
        <w:ind w:left="4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4"/>
  </w:num>
  <w:num w:numId="12">
    <w:abstractNumId w:val="30"/>
  </w:num>
  <w:num w:numId="13">
    <w:abstractNumId w:val="19"/>
  </w:num>
  <w:num w:numId="14">
    <w:abstractNumId w:val="16"/>
  </w:num>
  <w:num w:numId="15">
    <w:abstractNumId w:val="8"/>
  </w:num>
  <w:num w:numId="16">
    <w:abstractNumId w:val="12"/>
  </w:num>
  <w:num w:numId="17">
    <w:abstractNumId w:val="27"/>
  </w:num>
  <w:num w:numId="18">
    <w:abstractNumId w:val="15"/>
  </w:num>
  <w:num w:numId="19">
    <w:abstractNumId w:val="4"/>
  </w:num>
  <w:num w:numId="20">
    <w:abstractNumId w:val="6"/>
  </w:num>
  <w:num w:numId="21">
    <w:abstractNumId w:val="29"/>
  </w:num>
  <w:num w:numId="22">
    <w:abstractNumId w:val="25"/>
  </w:num>
  <w:num w:numId="23">
    <w:abstractNumId w:val="3"/>
  </w:num>
  <w:num w:numId="24">
    <w:abstractNumId w:val="7"/>
  </w:num>
  <w:num w:numId="25">
    <w:abstractNumId w:val="11"/>
  </w:num>
  <w:num w:numId="26">
    <w:abstractNumId w:val="10"/>
  </w:num>
  <w:num w:numId="27">
    <w:abstractNumId w:val="32"/>
  </w:num>
  <w:num w:numId="28">
    <w:abstractNumId w:val="26"/>
  </w:num>
  <w:num w:numId="29">
    <w:abstractNumId w:val="0"/>
  </w:num>
  <w:num w:numId="30">
    <w:abstractNumId w:val="21"/>
  </w:num>
  <w:num w:numId="31">
    <w:abstractNumId w:val="20"/>
  </w:num>
  <w:num w:numId="32">
    <w:abstractNumId w:val="23"/>
  </w:num>
  <w:num w:numId="33">
    <w:abstractNumId w:val="5"/>
  </w:num>
  <w:num w:numId="34">
    <w:abstractNumId w:val="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DA"/>
    <w:rsid w:val="00066786"/>
    <w:rsid w:val="00090762"/>
    <w:rsid w:val="000A1420"/>
    <w:rsid w:val="000B21F8"/>
    <w:rsid w:val="000B7216"/>
    <w:rsid w:val="000C0C3C"/>
    <w:rsid w:val="000E0B67"/>
    <w:rsid w:val="000F63F6"/>
    <w:rsid w:val="00131A28"/>
    <w:rsid w:val="00156BF2"/>
    <w:rsid w:val="00181B87"/>
    <w:rsid w:val="001B25B9"/>
    <w:rsid w:val="00202921"/>
    <w:rsid w:val="00241BC4"/>
    <w:rsid w:val="00264FB2"/>
    <w:rsid w:val="002A7BFF"/>
    <w:rsid w:val="002E3F45"/>
    <w:rsid w:val="002F69E5"/>
    <w:rsid w:val="00311860"/>
    <w:rsid w:val="00322FD3"/>
    <w:rsid w:val="0032522D"/>
    <w:rsid w:val="003502C8"/>
    <w:rsid w:val="00350929"/>
    <w:rsid w:val="00364A25"/>
    <w:rsid w:val="00365682"/>
    <w:rsid w:val="00386E1F"/>
    <w:rsid w:val="003F1FD2"/>
    <w:rsid w:val="0046088B"/>
    <w:rsid w:val="00463C60"/>
    <w:rsid w:val="0046521A"/>
    <w:rsid w:val="004C21D3"/>
    <w:rsid w:val="00543565"/>
    <w:rsid w:val="006161F4"/>
    <w:rsid w:val="00637D4B"/>
    <w:rsid w:val="00672331"/>
    <w:rsid w:val="006D78EA"/>
    <w:rsid w:val="00713CC8"/>
    <w:rsid w:val="007224C5"/>
    <w:rsid w:val="007B6796"/>
    <w:rsid w:val="007D1B9B"/>
    <w:rsid w:val="007D3F1B"/>
    <w:rsid w:val="007E1AFA"/>
    <w:rsid w:val="007F446C"/>
    <w:rsid w:val="007F60B4"/>
    <w:rsid w:val="00810A59"/>
    <w:rsid w:val="00856412"/>
    <w:rsid w:val="00877B76"/>
    <w:rsid w:val="008C7686"/>
    <w:rsid w:val="008E474C"/>
    <w:rsid w:val="008E5BD6"/>
    <w:rsid w:val="00912325"/>
    <w:rsid w:val="00931AD4"/>
    <w:rsid w:val="0094568E"/>
    <w:rsid w:val="00947AC3"/>
    <w:rsid w:val="00967B77"/>
    <w:rsid w:val="009A2085"/>
    <w:rsid w:val="009D7219"/>
    <w:rsid w:val="009E0A88"/>
    <w:rsid w:val="00A16A3B"/>
    <w:rsid w:val="00A57B17"/>
    <w:rsid w:val="00A83385"/>
    <w:rsid w:val="00AC6BC1"/>
    <w:rsid w:val="00B2014A"/>
    <w:rsid w:val="00B27DD3"/>
    <w:rsid w:val="00B4523F"/>
    <w:rsid w:val="00B833F4"/>
    <w:rsid w:val="00B92816"/>
    <w:rsid w:val="00B96A80"/>
    <w:rsid w:val="00BA18EE"/>
    <w:rsid w:val="00BA1AAA"/>
    <w:rsid w:val="00BA6795"/>
    <w:rsid w:val="00BB5ADA"/>
    <w:rsid w:val="00BE1683"/>
    <w:rsid w:val="00C04D6E"/>
    <w:rsid w:val="00C07ACE"/>
    <w:rsid w:val="00D2186E"/>
    <w:rsid w:val="00D4541C"/>
    <w:rsid w:val="00D50421"/>
    <w:rsid w:val="00D52CA1"/>
    <w:rsid w:val="00D66853"/>
    <w:rsid w:val="00DA747A"/>
    <w:rsid w:val="00DC5E26"/>
    <w:rsid w:val="00DD495F"/>
    <w:rsid w:val="00DF2B4E"/>
    <w:rsid w:val="00E060E1"/>
    <w:rsid w:val="00E67B6B"/>
    <w:rsid w:val="00EC3253"/>
    <w:rsid w:val="00F20B71"/>
    <w:rsid w:val="00F24DFF"/>
    <w:rsid w:val="00F4158B"/>
    <w:rsid w:val="00F932A4"/>
    <w:rsid w:val="00FB48F2"/>
    <w:rsid w:val="00F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54BD"/>
  <w15:docId w15:val="{D0F732BF-B5ED-4F2D-9FF1-BB237A22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5A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bidi="ar-SA"/>
    </w:rPr>
  </w:style>
  <w:style w:type="paragraph" w:styleId="1">
    <w:name w:val="heading 1"/>
    <w:basedOn w:val="a"/>
    <w:next w:val="a"/>
    <w:link w:val="10"/>
    <w:uiPriority w:val="9"/>
    <w:qFormat/>
    <w:rsid w:val="00F24D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D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D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D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D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DFF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DF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DF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DF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D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24D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4D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24DF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24DF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24DF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24DF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24DF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24DF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24D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24D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24D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24DF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24DFF"/>
    <w:rPr>
      <w:b/>
      <w:bCs/>
    </w:rPr>
  </w:style>
  <w:style w:type="character" w:styleId="a8">
    <w:name w:val="Emphasis"/>
    <w:basedOn w:val="a0"/>
    <w:uiPriority w:val="20"/>
    <w:qFormat/>
    <w:rsid w:val="00F24DF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24DFF"/>
    <w:rPr>
      <w:szCs w:val="32"/>
    </w:rPr>
  </w:style>
  <w:style w:type="paragraph" w:styleId="aa">
    <w:name w:val="List Paragraph"/>
    <w:aliases w:val="List Paragraph 1,Bullets,List Paragraph (numbered (a)),Numbered Paragraph,Main numbered paragraph,List_Paragraph,Multilevel para_II,List Paragraph1,Akapit z listą BS,Bullet1,Numbered list,Citation List,본문(내용),Dot pt,IBL List Paragraph,Ha"/>
    <w:basedOn w:val="a"/>
    <w:link w:val="ab"/>
    <w:uiPriority w:val="34"/>
    <w:qFormat/>
    <w:rsid w:val="00F24D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4DFF"/>
    <w:rPr>
      <w:i/>
    </w:rPr>
  </w:style>
  <w:style w:type="character" w:customStyle="1" w:styleId="22">
    <w:name w:val="Цитата 2 Знак"/>
    <w:basedOn w:val="a0"/>
    <w:link w:val="21"/>
    <w:uiPriority w:val="29"/>
    <w:rsid w:val="00F24DF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24DFF"/>
    <w:pPr>
      <w:ind w:left="720" w:right="720"/>
    </w:pPr>
    <w:rPr>
      <w:b/>
      <w:i/>
    </w:rPr>
  </w:style>
  <w:style w:type="character" w:customStyle="1" w:styleId="ad">
    <w:name w:val="Выделенная цитата Знак"/>
    <w:basedOn w:val="a0"/>
    <w:link w:val="ac"/>
    <w:uiPriority w:val="30"/>
    <w:rsid w:val="00F24DFF"/>
    <w:rPr>
      <w:b/>
      <w:i/>
      <w:sz w:val="24"/>
    </w:rPr>
  </w:style>
  <w:style w:type="character" w:styleId="ae">
    <w:name w:val="Subtle Emphasis"/>
    <w:uiPriority w:val="19"/>
    <w:qFormat/>
    <w:rsid w:val="00F24DF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24DF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24DF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24DF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24DF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24DFF"/>
    <w:pPr>
      <w:outlineLvl w:val="9"/>
    </w:pPr>
  </w:style>
  <w:style w:type="paragraph" w:styleId="af4">
    <w:name w:val="Body Text"/>
    <w:basedOn w:val="a"/>
    <w:link w:val="af5"/>
    <w:uiPriority w:val="1"/>
    <w:semiHidden/>
    <w:unhideWhenUsed/>
    <w:qFormat/>
    <w:rsid w:val="00BB5ADA"/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semiHidden/>
    <w:rsid w:val="00BB5ADA"/>
    <w:rPr>
      <w:rFonts w:ascii="Times New Roman" w:eastAsia="Times New Roman" w:hAnsi="Times New Roman"/>
      <w:sz w:val="24"/>
      <w:szCs w:val="24"/>
      <w:lang w:val="ro-RO" w:bidi="ar-SA"/>
    </w:rPr>
  </w:style>
  <w:style w:type="character" w:customStyle="1" w:styleId="ab">
    <w:name w:val="Абзац списка Знак"/>
    <w:aliases w:val="List Paragraph 1 Знак,Bullets Знак,List Paragraph (numbered (a)) Знак,Numbered Paragraph Знак,Main numbered paragraph Знак,List_Paragraph Знак,Multilevel para_II Знак,List Paragraph1 Знак,Akapit z listą BS Знак,Bullet1 Знак,본문(내용) Знак"/>
    <w:link w:val="aa"/>
    <w:uiPriority w:val="34"/>
    <w:qFormat/>
    <w:locked/>
    <w:rsid w:val="00BB5ADA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B5ADA"/>
    <w:pPr>
      <w:spacing w:before="2"/>
      <w:ind w:left="1578" w:right="351" w:hanging="996"/>
      <w:outlineLvl w:val="1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BB5ADA"/>
    <w:pPr>
      <w:spacing w:before="1"/>
      <w:ind w:left="166"/>
      <w:outlineLvl w:val="3"/>
    </w:pPr>
    <w:rPr>
      <w:b/>
      <w:bCs/>
      <w:i/>
      <w:iCs/>
      <w:sz w:val="26"/>
      <w:szCs w:val="26"/>
    </w:rPr>
  </w:style>
  <w:style w:type="table" w:styleId="af6">
    <w:name w:val="Table Grid"/>
    <w:basedOn w:val="a1"/>
    <w:rsid w:val="007B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F932A4"/>
    <w:pPr>
      <w:spacing w:after="0"/>
    </w:pPr>
    <w:rPr>
      <w:rFonts w:ascii="Arial" w:eastAsia="Arial" w:hAnsi="Arial" w:cs="Arial"/>
      <w:lang w:val="ru-RU" w:eastAsia="ru-RU" w:bidi="ar-SA"/>
    </w:rPr>
  </w:style>
  <w:style w:type="paragraph" w:styleId="af7">
    <w:name w:val="Normal (Web)"/>
    <w:basedOn w:val="a"/>
    <w:uiPriority w:val="99"/>
    <w:unhideWhenUsed/>
    <w:rsid w:val="00F932A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3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rimlexconsult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8001</Words>
  <Characters>46406</Characters>
  <Application>Microsoft Office Word</Application>
  <DocSecurity>0</DocSecurity>
  <Lines>386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CONSILIUL	RAIONAL	РАЙОННЫЙ СОВЕТ RÎŞCANI		РЫШКАНЬ</vt:lpstr>
    </vt:vector>
  </TitlesOfParts>
  <Company/>
  <LinksUpToDate>false</LinksUpToDate>
  <CharactersWithSpaces>54299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Postolachi Rodica</cp:lastModifiedBy>
  <cp:revision>2</cp:revision>
  <cp:lastPrinted>2026-02-12T14:32:00Z</cp:lastPrinted>
  <dcterms:created xsi:type="dcterms:W3CDTF">2026-02-17T08:07:00Z</dcterms:created>
  <dcterms:modified xsi:type="dcterms:W3CDTF">2026-02-17T08:07:00Z</dcterms:modified>
</cp:coreProperties>
</file>